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BF6FBA" w:rsidRPr="00ED759C" w14:paraId="7A66E0DB" w14:textId="77777777" w:rsidTr="00A94596">
        <w:tc>
          <w:tcPr>
            <w:tcW w:w="4360" w:type="dxa"/>
            <w:shd w:val="clear" w:color="auto" w:fill="auto"/>
          </w:tcPr>
          <w:p w14:paraId="0F298F56" w14:textId="77777777" w:rsidR="00BF6FBA" w:rsidRDefault="00BF6FBA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14:paraId="486C8B71" w14:textId="690DF443" w:rsidR="00BF6FBA" w:rsidRPr="00AA7A21" w:rsidRDefault="00DD65A8" w:rsidP="00D65A0C">
            <w:pPr>
              <w:rPr>
                <w:b/>
                <w:sz w:val="24"/>
                <w:szCs w:val="24"/>
              </w:rPr>
            </w:pPr>
            <w:r w:rsidRPr="00AA7A21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4A4EE2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EE1181" w:rsidRPr="00AA7A21">
              <w:rPr>
                <w:b/>
                <w:sz w:val="24"/>
                <w:szCs w:val="24"/>
              </w:rPr>
              <w:t xml:space="preserve"> </w:t>
            </w:r>
          </w:p>
          <w:p w14:paraId="32CADBDE" w14:textId="77777777" w:rsidR="003E42D7" w:rsidRPr="003E42D7" w:rsidRDefault="003E42D7" w:rsidP="003E42D7">
            <w:pPr>
              <w:rPr>
                <w:sz w:val="24"/>
                <w:szCs w:val="24"/>
              </w:rPr>
            </w:pPr>
            <w:r w:rsidRPr="003E42D7">
              <w:rPr>
                <w:sz w:val="24"/>
                <w:szCs w:val="24"/>
              </w:rPr>
              <w:t xml:space="preserve">к Политике предоставления гарантий и поручительств акционерного общества «Корпорация развития малого и среднего предпринимательства Пермского края», </w:t>
            </w:r>
          </w:p>
          <w:p w14:paraId="155509D5" w14:textId="23723F73" w:rsidR="00A94596" w:rsidRPr="00EE1181" w:rsidRDefault="003E42D7" w:rsidP="003E42D7">
            <w:pPr>
              <w:rPr>
                <w:sz w:val="24"/>
                <w:szCs w:val="24"/>
                <w:highlight w:val="yellow"/>
              </w:rPr>
            </w:pPr>
            <w:r w:rsidRPr="003E42D7">
              <w:rPr>
                <w:sz w:val="24"/>
                <w:szCs w:val="24"/>
              </w:rPr>
              <w:t xml:space="preserve">утвержденной Протоколом заседания Совета директоров АО «Корпорация развития МСП ПК» от </w:t>
            </w:r>
            <w:r w:rsidR="001129F8">
              <w:rPr>
                <w:sz w:val="24"/>
                <w:szCs w:val="24"/>
              </w:rPr>
              <w:t>19.10</w:t>
            </w:r>
            <w:r w:rsidRPr="003E42D7">
              <w:rPr>
                <w:sz w:val="24"/>
                <w:szCs w:val="24"/>
              </w:rPr>
              <w:t>.2020 г. № 13</w:t>
            </w:r>
            <w:r w:rsidR="00422BBB">
              <w:rPr>
                <w:sz w:val="24"/>
                <w:szCs w:val="24"/>
              </w:rPr>
              <w:t>9</w:t>
            </w:r>
          </w:p>
        </w:tc>
      </w:tr>
    </w:tbl>
    <w:p w14:paraId="57CD1F67" w14:textId="77777777" w:rsidR="00BF6FBA" w:rsidRDefault="00BF6FBA">
      <w:pPr>
        <w:jc w:val="right"/>
        <w:rPr>
          <w:b/>
          <w:bCs/>
          <w:color w:val="000000"/>
          <w:sz w:val="23"/>
          <w:szCs w:val="23"/>
        </w:rPr>
      </w:pPr>
    </w:p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BF6FBA" w14:paraId="6E6FA6A3" w14:textId="77777777" w:rsidTr="00EE1181">
        <w:tc>
          <w:tcPr>
            <w:tcW w:w="4360" w:type="dxa"/>
            <w:shd w:val="clear" w:color="auto" w:fill="auto"/>
          </w:tcPr>
          <w:p w14:paraId="733A9758" w14:textId="77777777" w:rsidR="00BF6FBA" w:rsidRDefault="00BF6FBA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29CCFE83" w14:textId="77777777" w:rsidR="00BF6FBA" w:rsidRDefault="00BF6FB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14:paraId="384C9EAA" w14:textId="77777777" w:rsidR="00BF6FBA" w:rsidRDefault="00BF6FBA"/>
        </w:tc>
      </w:tr>
    </w:tbl>
    <w:p w14:paraId="4C58B4F9" w14:textId="77777777" w:rsidR="00BF6FBA" w:rsidRDefault="00EE1181" w:rsidP="00EE1181">
      <w:pPr>
        <w:jc w:val="center"/>
        <w:rPr>
          <w:szCs w:val="28"/>
        </w:rPr>
      </w:pPr>
      <w:r w:rsidRPr="00EE1181">
        <w:rPr>
          <w:szCs w:val="28"/>
        </w:rPr>
        <w:t xml:space="preserve">Условия, установленные для </w:t>
      </w:r>
      <w:r w:rsidR="00FA3042">
        <w:rPr>
          <w:szCs w:val="28"/>
        </w:rPr>
        <w:t xml:space="preserve">Банка-партнера - </w:t>
      </w:r>
      <w:r w:rsidR="00AA7A21" w:rsidRPr="00AA7A21">
        <w:rPr>
          <w:szCs w:val="28"/>
        </w:rPr>
        <w:t>Публичное акционерное общество «Сбербанк Росси</w:t>
      </w:r>
      <w:bookmarkStart w:id="0" w:name="_GoBack"/>
      <w:bookmarkEnd w:id="0"/>
      <w:r w:rsidR="00AA7A21" w:rsidRPr="00AA7A21">
        <w:rPr>
          <w:szCs w:val="28"/>
        </w:rPr>
        <w:t>и»</w:t>
      </w:r>
      <w:r w:rsidR="00AA7A21">
        <w:rPr>
          <w:szCs w:val="28"/>
        </w:rPr>
        <w:t xml:space="preserve"> (</w:t>
      </w:r>
      <w:r w:rsidRPr="00EE1181">
        <w:rPr>
          <w:szCs w:val="28"/>
        </w:rPr>
        <w:t>ПАО Сбербанк</w:t>
      </w:r>
      <w:r w:rsidR="00AA7A21">
        <w:rPr>
          <w:szCs w:val="28"/>
        </w:rPr>
        <w:t>)</w:t>
      </w:r>
      <w:r w:rsidRPr="00EE1181">
        <w:rPr>
          <w:szCs w:val="28"/>
        </w:rPr>
        <w:t xml:space="preserve"> в рамках механизма гарантийной поддерж</w:t>
      </w:r>
      <w:r>
        <w:rPr>
          <w:szCs w:val="28"/>
        </w:rPr>
        <w:t>к</w:t>
      </w:r>
      <w:r w:rsidRPr="00EE1181">
        <w:rPr>
          <w:szCs w:val="28"/>
        </w:rPr>
        <w:t>и без повторного андеррайтинга</w:t>
      </w:r>
      <w:r w:rsidR="00191524">
        <w:rPr>
          <w:rStyle w:val="a4"/>
          <w:szCs w:val="28"/>
        </w:rPr>
        <w:footnoteReference w:id="1"/>
      </w:r>
    </w:p>
    <w:p w14:paraId="022394BE" w14:textId="77777777" w:rsidR="00EE1181" w:rsidRDefault="00EE1181" w:rsidP="00EE1181">
      <w:pPr>
        <w:jc w:val="center"/>
        <w:rPr>
          <w:szCs w:val="28"/>
        </w:rPr>
      </w:pPr>
    </w:p>
    <w:p w14:paraId="2A0E0029" w14:textId="77777777" w:rsidR="00EE1181" w:rsidRDefault="00EE1181" w:rsidP="00EE1181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EE1181">
        <w:rPr>
          <w:szCs w:val="28"/>
        </w:rPr>
        <w:t xml:space="preserve">опуск к механизму гарантийной поддержки без повторного андеррайтинга </w:t>
      </w:r>
      <w:r>
        <w:rPr>
          <w:szCs w:val="28"/>
        </w:rPr>
        <w:t xml:space="preserve">осуществляется </w:t>
      </w:r>
      <w:r w:rsidRPr="00EE1181">
        <w:rPr>
          <w:szCs w:val="28"/>
        </w:rPr>
        <w:t xml:space="preserve">для </w:t>
      </w:r>
      <w:proofErr w:type="spellStart"/>
      <w:r w:rsidRPr="00EE1181">
        <w:rPr>
          <w:szCs w:val="28"/>
        </w:rPr>
        <w:t>подсегмента</w:t>
      </w:r>
      <w:proofErr w:type="spellEnd"/>
      <w:r w:rsidRPr="00EE1181">
        <w:rPr>
          <w:szCs w:val="28"/>
        </w:rPr>
        <w:t xml:space="preserve"> </w:t>
      </w:r>
      <w:r>
        <w:rPr>
          <w:szCs w:val="28"/>
        </w:rPr>
        <w:t>ПАО Сбербанк</w:t>
      </w:r>
      <w:r w:rsidRPr="00EE1181">
        <w:rPr>
          <w:szCs w:val="28"/>
        </w:rPr>
        <w:t xml:space="preserve"> «Корпоративный бизнес» в рамках продуктов «Пополнение оборотных средств», «Инвестиционное кредитование» и для </w:t>
      </w:r>
      <w:proofErr w:type="spellStart"/>
      <w:r w:rsidRPr="00EE1181">
        <w:rPr>
          <w:szCs w:val="28"/>
        </w:rPr>
        <w:t>подсегмента</w:t>
      </w:r>
      <w:proofErr w:type="spellEnd"/>
      <w:r w:rsidRPr="00EE1181">
        <w:rPr>
          <w:szCs w:val="28"/>
        </w:rPr>
        <w:t xml:space="preserve"> </w:t>
      </w:r>
      <w:r>
        <w:rPr>
          <w:szCs w:val="28"/>
        </w:rPr>
        <w:t>ПАО Сбербанк</w:t>
      </w:r>
      <w:r w:rsidRPr="00EE1181">
        <w:rPr>
          <w:szCs w:val="28"/>
        </w:rPr>
        <w:t xml:space="preserve"> «Микро и Малый бизнес» в рамках продуктов «Инвестиционный кредит», «Оборотный кредит», «</w:t>
      </w:r>
      <w:proofErr w:type="spellStart"/>
      <w:r w:rsidRPr="00EE1181">
        <w:rPr>
          <w:szCs w:val="28"/>
        </w:rPr>
        <w:t>Овердрафтный</w:t>
      </w:r>
      <w:proofErr w:type="spellEnd"/>
      <w:r w:rsidRPr="00EE1181">
        <w:rPr>
          <w:szCs w:val="28"/>
        </w:rPr>
        <w:t xml:space="preserve"> кредит», «Кредит на проект» и «Гарантия» с учетом следующих условий и ограничений:</w:t>
      </w:r>
    </w:p>
    <w:tbl>
      <w:tblPr>
        <w:tblW w:w="94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194"/>
        <w:gridCol w:w="3814"/>
      </w:tblGrid>
      <w:tr w:rsidR="00EE1181" w:rsidRPr="00EE1181" w14:paraId="7A96E0D9" w14:textId="77777777" w:rsidTr="00EE1181">
        <w:trPr>
          <w:trHeight w:val="465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7628F524" w14:textId="77777777" w:rsidR="00EE1181" w:rsidRPr="00EE1181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1C516B87" w14:textId="77777777" w:rsidR="00EE1181" w:rsidRPr="00EE1181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Поручительство предоставляется</w:t>
            </w:r>
            <w:r w:rsidR="00EE1181" w:rsidRPr="00EE1181">
              <w:rPr>
                <w:color w:val="000000"/>
                <w:sz w:val="22"/>
                <w:szCs w:val="22"/>
                <w:lang w:eastAsia="ru-RU"/>
              </w:rPr>
              <w:t xml:space="preserve"> в рамках кредитных договоров, заключаемых после 01 января 2019 г.</w:t>
            </w:r>
          </w:p>
        </w:tc>
      </w:tr>
      <w:tr w:rsidR="00EE1181" w:rsidRPr="00EE1181" w14:paraId="7F36FB82" w14:textId="77777777" w:rsidTr="00EE1181">
        <w:trPr>
          <w:trHeight w:val="1155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093CD7A0" w14:textId="77777777" w:rsidR="00EE1181" w:rsidRPr="00EE1181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7E28D316" w14:textId="77777777" w:rsidR="00EE1181" w:rsidRPr="00EE1181" w:rsidRDefault="00F92DD8" w:rsidP="00F92D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Поручительство предоставляется</w:t>
            </w:r>
            <w:r w:rsidR="00EE1181" w:rsidRPr="00EE1181">
              <w:rPr>
                <w:color w:val="000000"/>
                <w:sz w:val="22"/>
                <w:szCs w:val="22"/>
                <w:lang w:eastAsia="ru-RU"/>
              </w:rPr>
              <w:t xml:space="preserve"> в размере от 5 млн рублей и до </w:t>
            </w:r>
            <w:r w:rsidR="00906AFB">
              <w:rPr>
                <w:color w:val="000000"/>
                <w:sz w:val="22"/>
                <w:szCs w:val="22"/>
                <w:lang w:eastAsia="ru-RU"/>
              </w:rPr>
              <w:t>15</w:t>
            </w:r>
            <w:r w:rsidR="00906AFB" w:rsidRPr="00EE118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EE1181" w:rsidRPr="00EE1181">
              <w:rPr>
                <w:color w:val="000000"/>
                <w:sz w:val="22"/>
                <w:szCs w:val="22"/>
                <w:lang w:eastAsia="ru-RU"/>
              </w:rPr>
              <w:t xml:space="preserve">млн рублей </w:t>
            </w:r>
          </w:p>
        </w:tc>
      </w:tr>
      <w:tr w:rsidR="00EE1181" w:rsidRPr="00EE1181" w14:paraId="551B85CF" w14:textId="77777777" w:rsidTr="00EE1181">
        <w:trPr>
          <w:trHeight w:val="9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7B5BA8A1" w14:textId="77777777" w:rsidR="00EE1181" w:rsidRPr="00EE1181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066112D1" w14:textId="77777777" w:rsidR="00EE1181" w:rsidRPr="00EE1181" w:rsidRDefault="00EE1181" w:rsidP="00F92D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 xml:space="preserve">В рамках Механизма не предоставляются </w:t>
            </w:r>
            <w:r w:rsidR="00F92DD8">
              <w:rPr>
                <w:color w:val="000000"/>
                <w:sz w:val="22"/>
                <w:szCs w:val="22"/>
                <w:lang w:eastAsia="ru-RU"/>
              </w:rPr>
              <w:t>поручительства</w:t>
            </w:r>
            <w:r w:rsidRPr="00EE1181">
              <w:rPr>
                <w:color w:val="000000"/>
                <w:sz w:val="22"/>
                <w:szCs w:val="22"/>
                <w:lang w:eastAsia="ru-RU"/>
              </w:rPr>
              <w:t xml:space="preserve"> заемщикам, по обязательствам которых </w:t>
            </w:r>
            <w:r w:rsidR="00F92DD8">
              <w:rPr>
                <w:color w:val="000000"/>
                <w:sz w:val="22"/>
                <w:szCs w:val="22"/>
                <w:lang w:eastAsia="ru-RU"/>
              </w:rPr>
              <w:t>ПАО Сбербанк</w:t>
            </w:r>
            <w:r w:rsidRPr="00EE1181">
              <w:rPr>
                <w:color w:val="000000"/>
                <w:sz w:val="22"/>
                <w:szCs w:val="22"/>
                <w:lang w:eastAsia="ru-RU"/>
              </w:rPr>
              <w:t xml:space="preserve"> проводилась или проводится реструктуризация (в определении п. 3.7.2.2 Положения Банка России № 590-П), не связанная с изменением процентной ставки.</w:t>
            </w:r>
          </w:p>
        </w:tc>
      </w:tr>
      <w:tr w:rsidR="00EE1181" w:rsidRPr="00EE1181" w14:paraId="677C66A8" w14:textId="77777777" w:rsidTr="00EE1181">
        <w:trPr>
          <w:trHeight w:val="168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1BE944A5" w14:textId="77777777" w:rsidR="00EE1181" w:rsidRPr="00EE1181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5EFB3DBD" w14:textId="77777777" w:rsidR="00EE1181" w:rsidRPr="00EE1181" w:rsidRDefault="00F92DD8" w:rsidP="00F92D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92CF5">
              <w:rPr>
                <w:color w:val="000000"/>
                <w:sz w:val="22"/>
                <w:szCs w:val="22"/>
                <w:lang w:eastAsia="ru-RU"/>
              </w:rPr>
              <w:t>ПАО Сбербанк</w:t>
            </w:r>
            <w:r w:rsidR="00EE1181" w:rsidRPr="00392CF5">
              <w:rPr>
                <w:color w:val="000000"/>
                <w:sz w:val="22"/>
                <w:szCs w:val="22"/>
                <w:lang w:eastAsia="ru-RU"/>
              </w:rPr>
              <w:t xml:space="preserve"> включает в раздел 5 Заявки на предоставление гарантий (Приложение № </w:t>
            </w:r>
            <w:r w:rsidR="003820CE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EE1181" w:rsidRPr="00392CF5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r w:rsidR="00906AFB" w:rsidRPr="00392CF5">
              <w:rPr>
                <w:color w:val="000000"/>
                <w:sz w:val="22"/>
                <w:szCs w:val="22"/>
                <w:lang w:eastAsia="ru-RU"/>
              </w:rPr>
              <w:t xml:space="preserve">настоящей </w:t>
            </w:r>
            <w:r w:rsidRPr="00392CF5">
              <w:rPr>
                <w:color w:val="000000"/>
                <w:sz w:val="22"/>
                <w:szCs w:val="22"/>
                <w:lang w:eastAsia="ru-RU"/>
              </w:rPr>
              <w:t>Политике МСП ПК»</w:t>
            </w:r>
            <w:r w:rsidR="00392CF5">
              <w:rPr>
                <w:color w:val="000000"/>
                <w:sz w:val="22"/>
                <w:szCs w:val="22"/>
                <w:lang w:eastAsia="ru-RU"/>
              </w:rPr>
              <w:t>)</w:t>
            </w:r>
            <w:r w:rsidR="00EE1181" w:rsidRPr="00EE1181">
              <w:rPr>
                <w:color w:val="000000"/>
                <w:sz w:val="22"/>
                <w:szCs w:val="22"/>
                <w:lang w:eastAsia="ru-RU"/>
              </w:rPr>
              <w:t xml:space="preserve"> пункт со следующим содержанием </w:t>
            </w:r>
            <w:r w:rsidR="00EE1181" w:rsidRPr="00EE1181">
              <w:rPr>
                <w:i/>
                <w:iCs/>
                <w:color w:val="000000"/>
                <w:sz w:val="22"/>
                <w:szCs w:val="22"/>
                <w:lang w:eastAsia="ru-RU"/>
              </w:rPr>
              <w:t>«В отношении указанного Заемщика ПАО Сбербанк не проводится (в рамках кредита, обеспечиваем</w:t>
            </w: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ым</w:t>
            </w:r>
            <w:r w:rsidR="00EE1181" w:rsidRPr="00EE1181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поручительством</w:t>
            </w:r>
            <w:r w:rsidR="00EE1181" w:rsidRPr="00EE1181">
              <w:rPr>
                <w:i/>
                <w:iCs/>
                <w:color w:val="000000"/>
                <w:sz w:val="22"/>
                <w:szCs w:val="22"/>
                <w:lang w:eastAsia="ru-RU"/>
              </w:rPr>
              <w:t>) и не проводилась ранее реструктуризация кредитов (в определении п. 3.7.2.2 Положения Банка России 590-П), не связанная с изменением процентной ставки»</w:t>
            </w:r>
            <w:r w:rsidR="00EE1181" w:rsidRPr="00EE1181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F92DD8" w:rsidRPr="00EE1181" w14:paraId="50CB4651" w14:textId="77777777" w:rsidTr="006003D5">
        <w:trPr>
          <w:trHeight w:val="3031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2A7B238F" w14:textId="77777777" w:rsidR="00F92DD8" w:rsidRPr="00EE1181" w:rsidRDefault="00F92DD8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lastRenderedPageBreak/>
              <w:t>5.1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510FE756" w14:textId="77777777" w:rsidR="00F92DD8" w:rsidRPr="00EE1181" w:rsidRDefault="00F92DD8" w:rsidP="00F92D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 xml:space="preserve">В рамках Механизма предоставляются </w:t>
            </w:r>
            <w:r>
              <w:rPr>
                <w:color w:val="000000"/>
                <w:sz w:val="22"/>
                <w:szCs w:val="22"/>
                <w:lang w:eastAsia="ru-RU"/>
              </w:rPr>
              <w:t>поручительства п</w:t>
            </w:r>
            <w:r w:rsidRPr="00EE1181">
              <w:rPr>
                <w:color w:val="000000"/>
                <w:sz w:val="22"/>
                <w:szCs w:val="22"/>
                <w:lang w:eastAsia="ru-RU"/>
              </w:rPr>
              <w:t xml:space="preserve">о заемщикам </w:t>
            </w:r>
            <w:proofErr w:type="spellStart"/>
            <w:r w:rsidRPr="00EE1181">
              <w:rPr>
                <w:color w:val="000000"/>
                <w:sz w:val="22"/>
                <w:szCs w:val="22"/>
                <w:lang w:eastAsia="ru-RU"/>
              </w:rPr>
              <w:t>подсегмента</w:t>
            </w:r>
            <w:proofErr w:type="spellEnd"/>
            <w:r w:rsidRPr="00EE1181">
              <w:rPr>
                <w:color w:val="000000"/>
                <w:sz w:val="22"/>
                <w:szCs w:val="22"/>
                <w:lang w:eastAsia="ru-RU"/>
              </w:rPr>
              <w:t xml:space="preserve"> «Корпоративный бизнес» с рейтингом, определенным согласно модели Банка</w:t>
            </w:r>
            <w:r w:rsidR="00906AFB">
              <w:rPr>
                <w:color w:val="000000"/>
                <w:sz w:val="22"/>
                <w:szCs w:val="22"/>
                <w:lang w:eastAsia="ru-RU"/>
              </w:rPr>
              <w:t>-партнера</w:t>
            </w:r>
            <w:r w:rsidRPr="00EE1181">
              <w:rPr>
                <w:color w:val="000000"/>
                <w:sz w:val="22"/>
                <w:szCs w:val="22"/>
                <w:lang w:eastAsia="ru-RU"/>
              </w:rPr>
              <w:t xml:space="preserve"> «Корпоративные клиенты-резиденты РФ»:</w:t>
            </w:r>
          </w:p>
          <w:p w14:paraId="6A2AA588" w14:textId="77777777" w:rsidR="00F92DD8" w:rsidRPr="00EE1181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1, 2, 3, 4, 5, 6, 7, 8, 9, 10, 11, 12, 13 по обязательствам, срок которых не превышает 180 месяцев;</w:t>
            </w:r>
          </w:p>
          <w:p w14:paraId="011D43B4" w14:textId="77777777" w:rsidR="00F92DD8" w:rsidRPr="00EE1181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14 по обязательствам, срок которых не превышает 156 месяцев;</w:t>
            </w:r>
          </w:p>
          <w:p w14:paraId="5ABAF614" w14:textId="77777777" w:rsidR="00F92DD8" w:rsidRPr="00EE1181" w:rsidRDefault="00F92DD8" w:rsidP="00EE1181">
            <w:pPr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15 по обязательствам, срок которых не превышает 84 месяца;</w:t>
            </w:r>
          </w:p>
          <w:p w14:paraId="517F451E" w14:textId="77777777" w:rsidR="00F92DD8" w:rsidRPr="00EE1181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16 по обязательствам, срок которых не превышает 60 месяцев;</w:t>
            </w:r>
          </w:p>
          <w:p w14:paraId="1A8B6BC3" w14:textId="77777777" w:rsidR="00F92DD8" w:rsidRPr="00EE1181" w:rsidRDefault="00F92DD8" w:rsidP="00EE1181">
            <w:pPr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17 по обязательствам, срок которых не превышает 24 месяца.</w:t>
            </w:r>
          </w:p>
          <w:p w14:paraId="71B1E5D6" w14:textId="77777777" w:rsidR="00F92DD8" w:rsidRPr="00EE1181" w:rsidRDefault="00F92DD8" w:rsidP="00EE1181">
            <w:pPr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b/>
                <w:bCs/>
                <w:color w:val="000000"/>
                <w:sz w:val="22"/>
                <w:szCs w:val="22"/>
                <w:lang w:eastAsia="ru-RU"/>
              </w:rPr>
              <w:t>По рейтингам 18, 19, 20, 21, 22, 23, 24, 25, 26 гарантии не предоставляются вне зависимости от сроков обязательств.</w:t>
            </w:r>
          </w:p>
        </w:tc>
      </w:tr>
      <w:tr w:rsidR="00F92DD8" w:rsidRPr="00EE1181" w14:paraId="1AD27399" w14:textId="77777777" w:rsidTr="0011384E">
        <w:trPr>
          <w:trHeight w:val="2721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215569C5" w14:textId="77777777" w:rsidR="00F92DD8" w:rsidRPr="00EE1181" w:rsidRDefault="00F92DD8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5.2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64C763F6" w14:textId="77777777" w:rsidR="00F92DD8" w:rsidRPr="00EE1181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 xml:space="preserve">В рамках Механизма предоставляются гарантии по заемщикам </w:t>
            </w:r>
            <w:proofErr w:type="spellStart"/>
            <w:r w:rsidRPr="00EE1181">
              <w:rPr>
                <w:color w:val="000000"/>
                <w:sz w:val="22"/>
                <w:szCs w:val="22"/>
                <w:lang w:eastAsia="ru-RU"/>
              </w:rPr>
              <w:t>подсегмента</w:t>
            </w:r>
            <w:proofErr w:type="spellEnd"/>
            <w:r w:rsidRPr="00EE1181">
              <w:rPr>
                <w:color w:val="000000"/>
                <w:sz w:val="22"/>
                <w:szCs w:val="22"/>
                <w:lang w:eastAsia="ru-RU"/>
              </w:rPr>
              <w:t xml:space="preserve"> «Микро и Малый бизнес» с рейтингом, определенным согласно модели Банка</w:t>
            </w:r>
            <w:r w:rsidR="00906AFB">
              <w:rPr>
                <w:color w:val="000000"/>
                <w:sz w:val="22"/>
                <w:szCs w:val="22"/>
                <w:lang w:eastAsia="ru-RU"/>
              </w:rPr>
              <w:t>-партнера</w:t>
            </w:r>
            <w:r w:rsidRPr="00EE1181">
              <w:rPr>
                <w:color w:val="000000"/>
                <w:sz w:val="22"/>
                <w:szCs w:val="22"/>
                <w:lang w:eastAsia="ru-RU"/>
              </w:rPr>
              <w:t xml:space="preserve"> «Интегральная рейтинговая модель клиентов риск-сегмента «Малый бизнес»:</w:t>
            </w:r>
          </w:p>
          <w:p w14:paraId="5052B373" w14:textId="77777777" w:rsidR="00F92DD8" w:rsidRPr="00EE1181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1, 2, 3, 4, 5, 6, 7, 8, 9, 10, 11, 12, 13, 14 по обязательствам, срок которых не превышает 120 месяцев;</w:t>
            </w:r>
          </w:p>
          <w:p w14:paraId="0FBB2FE0" w14:textId="77777777" w:rsidR="00F92DD8" w:rsidRPr="00EE1181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15 по обязательствам, срок которых не превышает 84 месяца;</w:t>
            </w:r>
          </w:p>
          <w:p w14:paraId="1B2869D6" w14:textId="77777777" w:rsidR="00F92DD8" w:rsidRPr="00EE1181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16 по обязательствам, срок которых не превышает 48 месяцев;</w:t>
            </w:r>
          </w:p>
          <w:p w14:paraId="7870F8D3" w14:textId="77777777" w:rsidR="00F92DD8" w:rsidRPr="00EE1181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17 по обязательствам, срок которых не превышает 24 месяца.</w:t>
            </w:r>
          </w:p>
          <w:p w14:paraId="2106BECD" w14:textId="77777777" w:rsidR="00F92DD8" w:rsidRPr="00EE1181" w:rsidRDefault="00F92DD8" w:rsidP="00EE1181">
            <w:pPr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b/>
                <w:bCs/>
                <w:color w:val="000000"/>
                <w:sz w:val="22"/>
                <w:szCs w:val="22"/>
                <w:lang w:eastAsia="ru-RU"/>
              </w:rPr>
              <w:t>По рейтингам 18, 19, 20, 21, 22, 23, 24, 25, 26 гарантии не предоставляются вне зависимости от сроков обязательств.</w:t>
            </w:r>
          </w:p>
        </w:tc>
      </w:tr>
      <w:tr w:rsidR="00EE1181" w:rsidRPr="00EE1181" w14:paraId="5D2731CE" w14:textId="77777777" w:rsidTr="00EE1181">
        <w:trPr>
          <w:trHeight w:val="315"/>
        </w:trPr>
        <w:tc>
          <w:tcPr>
            <w:tcW w:w="491" w:type="dxa"/>
            <w:vMerge w:val="restart"/>
            <w:shd w:val="clear" w:color="auto" w:fill="auto"/>
            <w:noWrap/>
            <w:vAlign w:val="center"/>
            <w:hideMark/>
          </w:tcPr>
          <w:p w14:paraId="16A9861B" w14:textId="77777777" w:rsidR="00EE1181" w:rsidRPr="00EE1181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008A8544" w14:textId="77777777" w:rsidR="00EE1181" w:rsidRPr="00EE1181" w:rsidRDefault="00EE1181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 xml:space="preserve">- Для </w:t>
            </w:r>
            <w:proofErr w:type="spellStart"/>
            <w:r w:rsidRPr="00EE1181">
              <w:rPr>
                <w:color w:val="000000"/>
                <w:sz w:val="22"/>
                <w:szCs w:val="22"/>
                <w:lang w:eastAsia="ru-RU"/>
              </w:rPr>
              <w:t>подсегмента</w:t>
            </w:r>
            <w:proofErr w:type="spellEnd"/>
            <w:r w:rsidRPr="00EE1181">
              <w:rPr>
                <w:color w:val="000000"/>
                <w:sz w:val="22"/>
                <w:szCs w:val="22"/>
                <w:lang w:eastAsia="ru-RU"/>
              </w:rPr>
              <w:t xml:space="preserve"> «Корпоративный бизнес» устанавливается следующая целевая структура рейтингов:</w:t>
            </w:r>
          </w:p>
        </w:tc>
      </w:tr>
      <w:tr w:rsidR="00D014FB" w:rsidRPr="00EE1181" w14:paraId="3E4BA8EB" w14:textId="77777777" w:rsidTr="00974693">
        <w:trPr>
          <w:trHeight w:val="300"/>
        </w:trPr>
        <w:tc>
          <w:tcPr>
            <w:tcW w:w="491" w:type="dxa"/>
            <w:vMerge/>
            <w:vAlign w:val="center"/>
            <w:hideMark/>
          </w:tcPr>
          <w:p w14:paraId="43AE9D34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noWrap/>
            <w:vAlign w:val="bottom"/>
            <w:hideMark/>
          </w:tcPr>
          <w:p w14:paraId="1CD1B261" w14:textId="77777777" w:rsidR="00D014FB" w:rsidRPr="00EE1181" w:rsidRDefault="00D014FB" w:rsidP="00845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Рейтинг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14:paraId="33B4E897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Доля рейтинга для целевой структуры</w:t>
            </w:r>
          </w:p>
        </w:tc>
      </w:tr>
      <w:tr w:rsidR="00D014FB" w:rsidRPr="00EE1181" w14:paraId="6EA558F4" w14:textId="77777777" w:rsidTr="005F7BF1">
        <w:trPr>
          <w:trHeight w:val="945"/>
        </w:trPr>
        <w:tc>
          <w:tcPr>
            <w:tcW w:w="491" w:type="dxa"/>
            <w:vMerge/>
            <w:vAlign w:val="center"/>
            <w:hideMark/>
          </w:tcPr>
          <w:p w14:paraId="779C24D2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3C3D8A3E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рейтинг 1 – 13 (срок до 120 мес. включительно)</w:t>
            </w:r>
            <w:r w:rsidRPr="00EE1181">
              <w:rPr>
                <w:color w:val="000000"/>
                <w:sz w:val="22"/>
                <w:szCs w:val="22"/>
                <w:lang w:eastAsia="ru-RU"/>
              </w:rPr>
              <w:br/>
              <w:t>рейтинг 14 (срок до 72 мес. включительно)</w:t>
            </w:r>
            <w:r w:rsidRPr="00EE1181">
              <w:rPr>
                <w:color w:val="000000"/>
                <w:sz w:val="22"/>
                <w:szCs w:val="22"/>
                <w:lang w:eastAsia="ru-RU"/>
              </w:rPr>
              <w:br/>
              <w:t>рейтинг 15 (срок до 36 мес. включительно)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1FED5367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не менее 60,0%</w:t>
            </w:r>
          </w:p>
        </w:tc>
      </w:tr>
      <w:tr w:rsidR="00D014FB" w:rsidRPr="00EE1181" w14:paraId="3FB048DD" w14:textId="77777777" w:rsidTr="006C2463">
        <w:trPr>
          <w:trHeight w:val="1545"/>
        </w:trPr>
        <w:tc>
          <w:tcPr>
            <w:tcW w:w="491" w:type="dxa"/>
            <w:vMerge/>
            <w:vAlign w:val="center"/>
            <w:hideMark/>
          </w:tcPr>
          <w:p w14:paraId="58526DDE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6D4DC6C5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рейтинг «1» – «13» (срок более 120 мес.)</w:t>
            </w:r>
            <w:r w:rsidRPr="00EE1181">
              <w:rPr>
                <w:color w:val="000000"/>
                <w:sz w:val="22"/>
                <w:szCs w:val="22"/>
                <w:lang w:eastAsia="ru-RU"/>
              </w:rPr>
              <w:br/>
              <w:t>рейтинг «14» (срок более 72 мес.)</w:t>
            </w:r>
            <w:r w:rsidRPr="00EE1181">
              <w:rPr>
                <w:color w:val="000000"/>
                <w:sz w:val="22"/>
                <w:szCs w:val="22"/>
                <w:lang w:eastAsia="ru-RU"/>
              </w:rPr>
              <w:br/>
              <w:t>рейтинг «15» (срок более 36 мес.)</w:t>
            </w:r>
            <w:r w:rsidRPr="00EE1181">
              <w:rPr>
                <w:color w:val="000000"/>
                <w:sz w:val="22"/>
                <w:szCs w:val="22"/>
                <w:lang w:eastAsia="ru-RU"/>
              </w:rPr>
              <w:br/>
              <w:t>рейтинг «16»</w:t>
            </w:r>
            <w:r w:rsidRPr="00EE1181">
              <w:rPr>
                <w:color w:val="000000"/>
                <w:sz w:val="22"/>
                <w:szCs w:val="22"/>
                <w:lang w:eastAsia="ru-RU"/>
              </w:rPr>
              <w:br/>
              <w:t>рейтинг «17»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5BCF6DB3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не более 40,0%</w:t>
            </w:r>
          </w:p>
        </w:tc>
      </w:tr>
      <w:tr w:rsidR="00D014FB" w:rsidRPr="00EE1181" w14:paraId="4D1A910C" w14:textId="77777777" w:rsidTr="00236992">
        <w:trPr>
          <w:trHeight w:val="300"/>
        </w:trPr>
        <w:tc>
          <w:tcPr>
            <w:tcW w:w="491" w:type="dxa"/>
            <w:vMerge w:val="restart"/>
            <w:shd w:val="clear" w:color="auto" w:fill="auto"/>
            <w:noWrap/>
            <w:vAlign w:val="center"/>
            <w:hideMark/>
          </w:tcPr>
          <w:p w14:paraId="68E82225" w14:textId="77777777" w:rsidR="00D014FB" w:rsidRPr="00EE1181" w:rsidRDefault="00D014FB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9008" w:type="dxa"/>
            <w:gridSpan w:val="2"/>
            <w:shd w:val="clear" w:color="auto" w:fill="auto"/>
            <w:noWrap/>
            <w:vAlign w:val="bottom"/>
            <w:hideMark/>
          </w:tcPr>
          <w:p w14:paraId="2C72D9CE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 xml:space="preserve">- Для </w:t>
            </w:r>
            <w:proofErr w:type="spellStart"/>
            <w:r w:rsidRPr="00EE1181">
              <w:rPr>
                <w:color w:val="000000"/>
                <w:sz w:val="22"/>
                <w:szCs w:val="22"/>
                <w:lang w:eastAsia="ru-RU"/>
              </w:rPr>
              <w:t>подсегмента</w:t>
            </w:r>
            <w:proofErr w:type="spellEnd"/>
            <w:r w:rsidRPr="00EE1181">
              <w:rPr>
                <w:color w:val="000000"/>
                <w:sz w:val="22"/>
                <w:szCs w:val="22"/>
                <w:lang w:eastAsia="ru-RU"/>
              </w:rPr>
              <w:t xml:space="preserve"> «Микро и Малый бизнес» устанавливается следующая целевая структура рейтингов:</w:t>
            </w:r>
          </w:p>
        </w:tc>
      </w:tr>
      <w:tr w:rsidR="00D014FB" w:rsidRPr="00EE1181" w14:paraId="30686F9E" w14:textId="77777777" w:rsidTr="007E1969">
        <w:trPr>
          <w:trHeight w:val="300"/>
        </w:trPr>
        <w:tc>
          <w:tcPr>
            <w:tcW w:w="491" w:type="dxa"/>
            <w:vMerge/>
            <w:vAlign w:val="center"/>
            <w:hideMark/>
          </w:tcPr>
          <w:p w14:paraId="0F3B51B4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noWrap/>
            <w:vAlign w:val="bottom"/>
            <w:hideMark/>
          </w:tcPr>
          <w:p w14:paraId="71BA1FC8" w14:textId="77777777" w:rsidR="00D014FB" w:rsidRPr="00EE1181" w:rsidRDefault="00D014FB" w:rsidP="00D629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Рейтинг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14:paraId="0C62411B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Доля рейтинга для целевой структуры</w:t>
            </w:r>
          </w:p>
        </w:tc>
      </w:tr>
      <w:tr w:rsidR="00D014FB" w:rsidRPr="00EE1181" w14:paraId="5662127F" w14:textId="77777777" w:rsidTr="00E86DE7">
        <w:trPr>
          <w:trHeight w:val="690"/>
        </w:trPr>
        <w:tc>
          <w:tcPr>
            <w:tcW w:w="491" w:type="dxa"/>
            <w:vMerge/>
            <w:vAlign w:val="center"/>
            <w:hideMark/>
          </w:tcPr>
          <w:p w14:paraId="318ECCD4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4E549EFB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рейтинг 1 - 12</w:t>
            </w:r>
            <w:r w:rsidRPr="00EE1181">
              <w:rPr>
                <w:color w:val="000000"/>
                <w:sz w:val="22"/>
                <w:szCs w:val="22"/>
                <w:lang w:eastAsia="ru-RU"/>
              </w:rPr>
              <w:br/>
              <w:t>рейтинг 13 - 14 (срок до 60 мес. включительно)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1F63E558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не менее 70,0%</w:t>
            </w:r>
          </w:p>
        </w:tc>
      </w:tr>
      <w:tr w:rsidR="00D014FB" w:rsidRPr="00EE1181" w14:paraId="678AFE2C" w14:textId="77777777" w:rsidTr="001D5653">
        <w:trPr>
          <w:trHeight w:val="720"/>
        </w:trPr>
        <w:tc>
          <w:tcPr>
            <w:tcW w:w="491" w:type="dxa"/>
            <w:vMerge/>
            <w:vAlign w:val="center"/>
            <w:hideMark/>
          </w:tcPr>
          <w:p w14:paraId="0B6C6E74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59D60339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рейтинг 13 - 14 (срок более 60 мес.)</w:t>
            </w:r>
            <w:r w:rsidRPr="00EE1181">
              <w:rPr>
                <w:color w:val="000000"/>
                <w:sz w:val="22"/>
                <w:szCs w:val="22"/>
                <w:lang w:eastAsia="ru-RU"/>
              </w:rPr>
              <w:br/>
              <w:t>рейтинг 15 - 17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02468C8F" w14:textId="77777777" w:rsidR="00D014FB" w:rsidRPr="00EE1181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E1181">
              <w:rPr>
                <w:color w:val="000000"/>
                <w:sz w:val="22"/>
                <w:szCs w:val="22"/>
                <w:lang w:eastAsia="ru-RU"/>
              </w:rPr>
              <w:t>не более 30,0%</w:t>
            </w:r>
          </w:p>
        </w:tc>
      </w:tr>
    </w:tbl>
    <w:p w14:paraId="5A45CEFA" w14:textId="77777777" w:rsidR="00EE1181" w:rsidRPr="00EE1181" w:rsidRDefault="00EE1181" w:rsidP="00EE1181">
      <w:pPr>
        <w:jc w:val="center"/>
        <w:rPr>
          <w:sz w:val="20"/>
        </w:rPr>
      </w:pPr>
    </w:p>
    <w:sectPr w:rsidR="00EE1181" w:rsidRPr="00EE1181" w:rsidSect="002A5C3E">
      <w:footerReference w:type="default" r:id="rId7"/>
      <w:footnotePr>
        <w:numFmt w:val="chicago"/>
      </w:footnotePr>
      <w:pgSz w:w="11906" w:h="16838"/>
      <w:pgMar w:top="1134" w:right="850" w:bottom="851" w:left="1701" w:header="0" w:footer="708" w:gutter="0"/>
      <w:pgNumType w:start="79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5910" w14:textId="77777777" w:rsidR="00D01AB7" w:rsidRDefault="00D01AB7">
      <w:r>
        <w:separator/>
      </w:r>
    </w:p>
  </w:endnote>
  <w:endnote w:type="continuationSeparator" w:id="0">
    <w:p w14:paraId="1A12A8D0" w14:textId="77777777" w:rsidR="00D01AB7" w:rsidRDefault="00D0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631189"/>
      <w:docPartObj>
        <w:docPartGallery w:val="Page Numbers (Bottom of Page)"/>
        <w:docPartUnique/>
      </w:docPartObj>
    </w:sdtPr>
    <w:sdtEndPr/>
    <w:sdtContent>
      <w:p w14:paraId="5F99C177" w14:textId="1672D40F" w:rsidR="00653F53" w:rsidRDefault="00653F5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F2227" w14:textId="77777777" w:rsidR="00BF6FBA" w:rsidRDefault="00BF6FB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29616" w14:textId="77777777" w:rsidR="00D01AB7" w:rsidRDefault="00D01AB7">
      <w:r>
        <w:separator/>
      </w:r>
    </w:p>
  </w:footnote>
  <w:footnote w:type="continuationSeparator" w:id="0">
    <w:p w14:paraId="2C6ADA04" w14:textId="77777777" w:rsidR="00D01AB7" w:rsidRDefault="00D01AB7">
      <w:r>
        <w:continuationSeparator/>
      </w:r>
    </w:p>
  </w:footnote>
  <w:footnote w:id="1">
    <w:p w14:paraId="1E3CB45A" w14:textId="78D2D2B6" w:rsidR="00191524" w:rsidRPr="00AA7A21" w:rsidRDefault="00191524" w:rsidP="00AA7A21">
      <w:pPr>
        <w:pStyle w:val="af0"/>
        <w:jc w:val="both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 xml:space="preserve">Настоящие условия определены </w:t>
      </w:r>
      <w:r w:rsidR="00E10DE4">
        <w:rPr>
          <w:sz w:val="18"/>
          <w:szCs w:val="18"/>
        </w:rPr>
        <w:t>протокол</w:t>
      </w:r>
      <w:r w:rsidR="00616784">
        <w:rPr>
          <w:sz w:val="18"/>
          <w:szCs w:val="18"/>
        </w:rPr>
        <w:t>ом</w:t>
      </w:r>
      <w:r w:rsidR="00E10DE4">
        <w:rPr>
          <w:sz w:val="18"/>
          <w:szCs w:val="18"/>
        </w:rPr>
        <w:t xml:space="preserve"> заседания</w:t>
      </w:r>
      <w:r w:rsidRPr="00AA7A21">
        <w:rPr>
          <w:sz w:val="18"/>
          <w:szCs w:val="18"/>
        </w:rPr>
        <w:t xml:space="preserve"> Правления АО "Корпорация "МСП" №1278/19 от 19.04.19</w:t>
      </w:r>
      <w:r w:rsidR="00E10DE4">
        <w:rPr>
          <w:sz w:val="18"/>
          <w:szCs w:val="18"/>
        </w:rPr>
        <w:t xml:space="preserve"> (в редакции протоколов АО «Корпорация «МСП» </w:t>
      </w:r>
      <w:r w:rsidRPr="00AA7A21">
        <w:rPr>
          <w:sz w:val="18"/>
          <w:szCs w:val="18"/>
        </w:rPr>
        <w:t xml:space="preserve">№1285/19 от 30.04.19, №1416/19 от 21.10.19, №1457/19 от 06.12.2019, №1472/19 от 23.12.2019)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BA"/>
    <w:rsid w:val="00066418"/>
    <w:rsid w:val="000744DA"/>
    <w:rsid w:val="00083B0A"/>
    <w:rsid w:val="000B441A"/>
    <w:rsid w:val="000C03F9"/>
    <w:rsid w:val="000C0F01"/>
    <w:rsid w:val="000F27C1"/>
    <w:rsid w:val="001129F8"/>
    <w:rsid w:val="001374AA"/>
    <w:rsid w:val="00191524"/>
    <w:rsid w:val="001A0DBA"/>
    <w:rsid w:val="00206805"/>
    <w:rsid w:val="002364A7"/>
    <w:rsid w:val="00241C94"/>
    <w:rsid w:val="00244B16"/>
    <w:rsid w:val="002A5C3E"/>
    <w:rsid w:val="002B232F"/>
    <w:rsid w:val="002D070F"/>
    <w:rsid w:val="002E2477"/>
    <w:rsid w:val="0030117E"/>
    <w:rsid w:val="00325003"/>
    <w:rsid w:val="00350C15"/>
    <w:rsid w:val="003820CE"/>
    <w:rsid w:val="00382589"/>
    <w:rsid w:val="003827AD"/>
    <w:rsid w:val="00392CF5"/>
    <w:rsid w:val="00397FC0"/>
    <w:rsid w:val="003A0BAE"/>
    <w:rsid w:val="003C2436"/>
    <w:rsid w:val="003D7930"/>
    <w:rsid w:val="003E12BC"/>
    <w:rsid w:val="003E42D7"/>
    <w:rsid w:val="004036D1"/>
    <w:rsid w:val="00422BBB"/>
    <w:rsid w:val="00436E0D"/>
    <w:rsid w:val="00440AD9"/>
    <w:rsid w:val="00461507"/>
    <w:rsid w:val="00470322"/>
    <w:rsid w:val="0048137A"/>
    <w:rsid w:val="004921FA"/>
    <w:rsid w:val="00492270"/>
    <w:rsid w:val="004A4EE2"/>
    <w:rsid w:val="004C7DEE"/>
    <w:rsid w:val="004F7C49"/>
    <w:rsid w:val="00511230"/>
    <w:rsid w:val="00536253"/>
    <w:rsid w:val="005424DA"/>
    <w:rsid w:val="0054601F"/>
    <w:rsid w:val="00551CEB"/>
    <w:rsid w:val="00561D91"/>
    <w:rsid w:val="005D2629"/>
    <w:rsid w:val="005F66BC"/>
    <w:rsid w:val="00604683"/>
    <w:rsid w:val="00616784"/>
    <w:rsid w:val="00625060"/>
    <w:rsid w:val="00653F53"/>
    <w:rsid w:val="00677DA0"/>
    <w:rsid w:val="00692F56"/>
    <w:rsid w:val="006B31A8"/>
    <w:rsid w:val="006C0DB9"/>
    <w:rsid w:val="006C347E"/>
    <w:rsid w:val="006F6B38"/>
    <w:rsid w:val="00703084"/>
    <w:rsid w:val="00742764"/>
    <w:rsid w:val="00781CFC"/>
    <w:rsid w:val="00794828"/>
    <w:rsid w:val="00794D99"/>
    <w:rsid w:val="007B29A5"/>
    <w:rsid w:val="007C3CB8"/>
    <w:rsid w:val="007C707A"/>
    <w:rsid w:val="007D291B"/>
    <w:rsid w:val="007D78FD"/>
    <w:rsid w:val="007E22BC"/>
    <w:rsid w:val="007F2764"/>
    <w:rsid w:val="00806D38"/>
    <w:rsid w:val="008117A9"/>
    <w:rsid w:val="00831546"/>
    <w:rsid w:val="008358FA"/>
    <w:rsid w:val="00845638"/>
    <w:rsid w:val="008569A5"/>
    <w:rsid w:val="00870D9B"/>
    <w:rsid w:val="00891401"/>
    <w:rsid w:val="008A08CF"/>
    <w:rsid w:val="008A5AA3"/>
    <w:rsid w:val="008B3030"/>
    <w:rsid w:val="00906AFB"/>
    <w:rsid w:val="009353F2"/>
    <w:rsid w:val="00966F56"/>
    <w:rsid w:val="009F607B"/>
    <w:rsid w:val="00A11FF2"/>
    <w:rsid w:val="00A3197F"/>
    <w:rsid w:val="00A3788E"/>
    <w:rsid w:val="00A94596"/>
    <w:rsid w:val="00A948AB"/>
    <w:rsid w:val="00AA70AA"/>
    <w:rsid w:val="00AA7A21"/>
    <w:rsid w:val="00AE517B"/>
    <w:rsid w:val="00AE70B7"/>
    <w:rsid w:val="00AF30CD"/>
    <w:rsid w:val="00AF3975"/>
    <w:rsid w:val="00B008BA"/>
    <w:rsid w:val="00B0798C"/>
    <w:rsid w:val="00B33B36"/>
    <w:rsid w:val="00B55C34"/>
    <w:rsid w:val="00B755C5"/>
    <w:rsid w:val="00B76F50"/>
    <w:rsid w:val="00BB14C5"/>
    <w:rsid w:val="00BD6C28"/>
    <w:rsid w:val="00BD6E9A"/>
    <w:rsid w:val="00BF6FBA"/>
    <w:rsid w:val="00C03DB2"/>
    <w:rsid w:val="00C07EDE"/>
    <w:rsid w:val="00C120B8"/>
    <w:rsid w:val="00C26189"/>
    <w:rsid w:val="00C70304"/>
    <w:rsid w:val="00CB0EF8"/>
    <w:rsid w:val="00CC5A56"/>
    <w:rsid w:val="00CF7A12"/>
    <w:rsid w:val="00CF7DE6"/>
    <w:rsid w:val="00D014FB"/>
    <w:rsid w:val="00D01AB7"/>
    <w:rsid w:val="00D161E2"/>
    <w:rsid w:val="00D62983"/>
    <w:rsid w:val="00D65A0C"/>
    <w:rsid w:val="00D86E93"/>
    <w:rsid w:val="00DC6B94"/>
    <w:rsid w:val="00DC6DD6"/>
    <w:rsid w:val="00DD65A8"/>
    <w:rsid w:val="00DF1870"/>
    <w:rsid w:val="00E10DE4"/>
    <w:rsid w:val="00E33468"/>
    <w:rsid w:val="00ED3745"/>
    <w:rsid w:val="00ED759C"/>
    <w:rsid w:val="00EE1181"/>
    <w:rsid w:val="00EE2BC0"/>
    <w:rsid w:val="00EF378E"/>
    <w:rsid w:val="00F0458C"/>
    <w:rsid w:val="00F2429C"/>
    <w:rsid w:val="00F426D6"/>
    <w:rsid w:val="00F466E1"/>
    <w:rsid w:val="00F5767B"/>
    <w:rsid w:val="00F87F65"/>
    <w:rsid w:val="00F92DD8"/>
    <w:rsid w:val="00F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29D5"/>
  <w15:docId w15:val="{A01A81E8-3150-4FC8-95EB-B02FD23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C28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BE6C28"/>
    <w:rPr>
      <w:vertAlign w:val="superscript"/>
    </w:rPr>
  </w:style>
  <w:style w:type="character" w:customStyle="1" w:styleId="9">
    <w:name w:val="Знак сноски9"/>
    <w:qFormat/>
    <w:rsid w:val="00BE6C28"/>
    <w:rPr>
      <w:vertAlign w:val="superscript"/>
    </w:rPr>
  </w:style>
  <w:style w:type="character" w:styleId="a4">
    <w:name w:val="footnote reference"/>
    <w:qFormat/>
    <w:rsid w:val="00BE6C28"/>
    <w:rPr>
      <w:vertAlign w:val="superscript"/>
    </w:rPr>
  </w:style>
  <w:style w:type="character" w:customStyle="1" w:styleId="a5">
    <w:name w:val="Текст сноски Знак"/>
    <w:basedOn w:val="a0"/>
    <w:qFormat/>
    <w:rsid w:val="00BE6C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uiPriority w:val="99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Текст выноски Знак"/>
    <w:basedOn w:val="a0"/>
    <w:uiPriority w:val="99"/>
    <w:semiHidden/>
    <w:qFormat/>
    <w:rsid w:val="00C3333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footnote text"/>
    <w:basedOn w:val="a"/>
  </w:style>
  <w:style w:type="paragraph" w:customStyle="1" w:styleId="Default">
    <w:name w:val="Default"/>
    <w:qFormat/>
    <w:rsid w:val="00BE6C2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1">
    <w:name w:val="header"/>
    <w:basedOn w:val="a"/>
    <w:uiPriority w:val="99"/>
    <w:unhideWhenUsed/>
    <w:rsid w:val="00C33335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C33335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C33335"/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character" w:styleId="af6">
    <w:name w:val="annotation reference"/>
    <w:basedOn w:val="a0"/>
    <w:uiPriority w:val="99"/>
    <w:semiHidden/>
    <w:unhideWhenUsed/>
    <w:rsid w:val="00D65A0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65A0C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65A0C"/>
    <w:rPr>
      <w:rFonts w:ascii="Times New Roman" w:eastAsia="Times New Roman" w:hAnsi="Times New Roman" w:cs="Times New Roman"/>
      <w:szCs w:val="20"/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65A0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65A0C"/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2C78-5A75-40DD-9B59-7E1C0365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cp:lastPrinted>2020-10-21T08:54:00Z</cp:lastPrinted>
  <dcterms:created xsi:type="dcterms:W3CDTF">2020-03-19T11:25:00Z</dcterms:created>
  <dcterms:modified xsi:type="dcterms:W3CDTF">2020-10-21T08:54:00Z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