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1" w:type="dxa"/>
        <w:tblLook w:val="0000" w:firstRow="0" w:lastRow="0" w:firstColumn="0" w:lastColumn="0" w:noHBand="0" w:noVBand="0"/>
      </w:tblPr>
      <w:tblGrid>
        <w:gridCol w:w="4360"/>
        <w:gridCol w:w="5441"/>
      </w:tblGrid>
      <w:tr w:rsidR="00BF6FBA" w:rsidRPr="002E19A4" w14:paraId="7A66E0DB" w14:textId="77777777" w:rsidTr="00A94596">
        <w:tc>
          <w:tcPr>
            <w:tcW w:w="4360" w:type="dxa"/>
            <w:shd w:val="clear" w:color="auto" w:fill="auto"/>
          </w:tcPr>
          <w:p w14:paraId="0F298F56" w14:textId="77777777" w:rsidR="00BF6FBA" w:rsidRDefault="00BF6FBA">
            <w:pPr>
              <w:snapToGri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41" w:type="dxa"/>
            <w:shd w:val="clear" w:color="auto" w:fill="auto"/>
          </w:tcPr>
          <w:p w14:paraId="594FF4D1" w14:textId="77777777" w:rsidR="00E11E8E" w:rsidRDefault="00E11E8E" w:rsidP="00D65A0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86C8B71" w14:textId="523735C3" w:rsidR="00BF6FBA" w:rsidRPr="002E19A4" w:rsidRDefault="00DD65A8" w:rsidP="00D65A0C">
            <w:pPr>
              <w:rPr>
                <w:b/>
                <w:sz w:val="24"/>
                <w:szCs w:val="24"/>
              </w:rPr>
            </w:pPr>
            <w:r w:rsidRPr="002E19A4">
              <w:rPr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5B4CFC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EE1181" w:rsidRPr="002E19A4">
              <w:rPr>
                <w:b/>
                <w:sz w:val="24"/>
                <w:szCs w:val="24"/>
              </w:rPr>
              <w:t xml:space="preserve"> </w:t>
            </w:r>
          </w:p>
          <w:p w14:paraId="32CADBDE" w14:textId="67159258" w:rsidR="003E42D7" w:rsidRPr="002E19A4" w:rsidRDefault="003E42D7" w:rsidP="003E42D7">
            <w:pPr>
              <w:rPr>
                <w:sz w:val="24"/>
                <w:szCs w:val="24"/>
              </w:rPr>
            </w:pPr>
            <w:r w:rsidRPr="002E19A4">
              <w:rPr>
                <w:sz w:val="24"/>
                <w:szCs w:val="24"/>
              </w:rPr>
              <w:t xml:space="preserve">к Политике предоставления поручительств </w:t>
            </w:r>
            <w:r w:rsidR="00FA4CE1">
              <w:rPr>
                <w:sz w:val="24"/>
                <w:szCs w:val="24"/>
              </w:rPr>
              <w:t xml:space="preserve">и независимых </w:t>
            </w:r>
            <w:r w:rsidR="00FA4CE1" w:rsidRPr="002E19A4">
              <w:rPr>
                <w:sz w:val="24"/>
                <w:szCs w:val="24"/>
              </w:rPr>
              <w:t xml:space="preserve">гарантий и </w:t>
            </w:r>
            <w:r w:rsidRPr="002E19A4">
              <w:rPr>
                <w:sz w:val="24"/>
                <w:szCs w:val="24"/>
              </w:rPr>
              <w:t xml:space="preserve">акционерного общества «Корпорация развития малого и среднего предпринимательства Пермского края», </w:t>
            </w:r>
          </w:p>
          <w:p w14:paraId="155509D5" w14:textId="343B1177" w:rsidR="00A94596" w:rsidRPr="002E19A4" w:rsidRDefault="003E42D7" w:rsidP="003E42D7">
            <w:pPr>
              <w:rPr>
                <w:sz w:val="24"/>
                <w:szCs w:val="24"/>
              </w:rPr>
            </w:pPr>
            <w:r w:rsidRPr="002E19A4">
              <w:rPr>
                <w:sz w:val="24"/>
                <w:szCs w:val="24"/>
              </w:rPr>
              <w:t xml:space="preserve">утвержденной Протоколом заседания Совета директоров АО «Корпорация развития МСП ПК» </w:t>
            </w:r>
            <w:proofErr w:type="gramStart"/>
            <w:r w:rsidRPr="002E19A4">
              <w:rPr>
                <w:sz w:val="24"/>
                <w:szCs w:val="24"/>
              </w:rPr>
              <w:t xml:space="preserve">от </w:t>
            </w:r>
            <w:r w:rsidR="00E27F50" w:rsidRPr="00E27F50">
              <w:rPr>
                <w:sz w:val="24"/>
                <w:szCs w:val="24"/>
              </w:rPr>
              <w:t xml:space="preserve"> </w:t>
            </w:r>
            <w:r w:rsidR="004F30B9">
              <w:rPr>
                <w:sz w:val="24"/>
                <w:szCs w:val="24"/>
              </w:rPr>
              <w:t>01</w:t>
            </w:r>
            <w:r w:rsidR="00E27F50" w:rsidRPr="00E27F50">
              <w:rPr>
                <w:sz w:val="24"/>
                <w:szCs w:val="24"/>
              </w:rPr>
              <w:t>.</w:t>
            </w:r>
            <w:r w:rsidR="004F30B9">
              <w:rPr>
                <w:sz w:val="24"/>
                <w:szCs w:val="24"/>
              </w:rPr>
              <w:t>11</w:t>
            </w:r>
            <w:r w:rsidR="00E27F50" w:rsidRPr="00E27F50">
              <w:rPr>
                <w:sz w:val="24"/>
                <w:szCs w:val="24"/>
              </w:rPr>
              <w:t>.202</w:t>
            </w:r>
            <w:r w:rsidR="008B168D">
              <w:rPr>
                <w:sz w:val="24"/>
                <w:szCs w:val="24"/>
              </w:rPr>
              <w:t>4</w:t>
            </w:r>
            <w:proofErr w:type="gramEnd"/>
            <w:r w:rsidR="00E27F50" w:rsidRPr="00E27F50">
              <w:rPr>
                <w:sz w:val="24"/>
                <w:szCs w:val="24"/>
              </w:rPr>
              <w:t xml:space="preserve"> г. №</w:t>
            </w:r>
            <w:r w:rsidR="004F30B9">
              <w:rPr>
                <w:sz w:val="24"/>
                <w:szCs w:val="24"/>
              </w:rPr>
              <w:t xml:space="preserve"> 9</w:t>
            </w:r>
          </w:p>
        </w:tc>
      </w:tr>
    </w:tbl>
    <w:p w14:paraId="57CD1F67" w14:textId="77777777" w:rsidR="00BF6FBA" w:rsidRPr="002E19A4" w:rsidRDefault="00BF6FBA">
      <w:pPr>
        <w:jc w:val="right"/>
        <w:rPr>
          <w:b/>
          <w:bCs/>
          <w:color w:val="000000"/>
          <w:sz w:val="23"/>
          <w:szCs w:val="23"/>
        </w:rPr>
      </w:pPr>
    </w:p>
    <w:tbl>
      <w:tblPr>
        <w:tblW w:w="9801" w:type="dxa"/>
        <w:tblLook w:val="0000" w:firstRow="0" w:lastRow="0" w:firstColumn="0" w:lastColumn="0" w:noHBand="0" w:noVBand="0"/>
      </w:tblPr>
      <w:tblGrid>
        <w:gridCol w:w="4360"/>
        <w:gridCol w:w="5441"/>
      </w:tblGrid>
      <w:tr w:rsidR="00BF6FBA" w:rsidRPr="002E19A4" w14:paraId="6E6FA6A3" w14:textId="77777777" w:rsidTr="00EE1181">
        <w:tc>
          <w:tcPr>
            <w:tcW w:w="4360" w:type="dxa"/>
            <w:shd w:val="clear" w:color="auto" w:fill="auto"/>
          </w:tcPr>
          <w:p w14:paraId="733A9758" w14:textId="77777777" w:rsidR="00BF6FBA" w:rsidRPr="002E19A4" w:rsidRDefault="00BF6FBA">
            <w:pPr>
              <w:snapToGri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  <w:p w14:paraId="29CCFE83" w14:textId="77777777" w:rsidR="00BF6FBA" w:rsidRPr="002E19A4" w:rsidRDefault="00BF6FBA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41" w:type="dxa"/>
            <w:shd w:val="clear" w:color="auto" w:fill="auto"/>
          </w:tcPr>
          <w:p w14:paraId="384C9EAA" w14:textId="77777777" w:rsidR="00BF6FBA" w:rsidRPr="002E19A4" w:rsidRDefault="00BF6FBA"/>
        </w:tc>
      </w:tr>
    </w:tbl>
    <w:p w14:paraId="4C58B4F9" w14:textId="58217279" w:rsidR="00BF6FBA" w:rsidRPr="003A2083" w:rsidRDefault="00EE1181" w:rsidP="00EE1181">
      <w:pPr>
        <w:jc w:val="center"/>
        <w:rPr>
          <w:b/>
          <w:bCs/>
          <w:szCs w:val="28"/>
        </w:rPr>
      </w:pPr>
      <w:r w:rsidRPr="003A2083">
        <w:rPr>
          <w:b/>
          <w:bCs/>
          <w:szCs w:val="28"/>
        </w:rPr>
        <w:t xml:space="preserve">Условия, установленные для </w:t>
      </w:r>
      <w:r w:rsidR="00FA3042" w:rsidRPr="003A2083">
        <w:rPr>
          <w:b/>
          <w:bCs/>
          <w:szCs w:val="28"/>
        </w:rPr>
        <w:t xml:space="preserve">Банка-партнера - </w:t>
      </w:r>
      <w:r w:rsidR="00AA7A21" w:rsidRPr="003A2083">
        <w:rPr>
          <w:b/>
          <w:bCs/>
          <w:szCs w:val="28"/>
          <w:u w:val="single"/>
        </w:rPr>
        <w:t>Публичное акционерное общество «Сбербанк России» (</w:t>
      </w:r>
      <w:r w:rsidRPr="003A2083">
        <w:rPr>
          <w:b/>
          <w:bCs/>
          <w:szCs w:val="28"/>
          <w:u w:val="single"/>
        </w:rPr>
        <w:t>ПАО Сбербанк</w:t>
      </w:r>
      <w:r w:rsidR="00AA7A21" w:rsidRPr="003A2083">
        <w:rPr>
          <w:b/>
          <w:bCs/>
          <w:szCs w:val="28"/>
          <w:u w:val="single"/>
        </w:rPr>
        <w:t>)</w:t>
      </w:r>
      <w:r w:rsidRPr="003A2083">
        <w:rPr>
          <w:b/>
          <w:bCs/>
          <w:szCs w:val="28"/>
          <w:u w:val="single"/>
        </w:rPr>
        <w:t xml:space="preserve"> </w:t>
      </w:r>
      <w:r w:rsidRPr="003A2083">
        <w:rPr>
          <w:b/>
          <w:bCs/>
          <w:szCs w:val="28"/>
        </w:rPr>
        <w:t>в рамках механизма гарантийной поддержки без повторного андеррайтинга</w:t>
      </w:r>
    </w:p>
    <w:p w14:paraId="022394BE" w14:textId="77777777" w:rsidR="00EE1181" w:rsidRPr="002E19A4" w:rsidRDefault="00EE1181" w:rsidP="00EE1181">
      <w:pPr>
        <w:jc w:val="center"/>
        <w:rPr>
          <w:szCs w:val="28"/>
        </w:rPr>
      </w:pPr>
    </w:p>
    <w:p w14:paraId="2A0E0029" w14:textId="77777777" w:rsidR="00EE1181" w:rsidRPr="002E19A4" w:rsidRDefault="00EE1181" w:rsidP="00EE1181">
      <w:pPr>
        <w:ind w:firstLine="709"/>
        <w:jc w:val="both"/>
        <w:rPr>
          <w:szCs w:val="28"/>
        </w:rPr>
      </w:pPr>
      <w:r w:rsidRPr="002E19A4">
        <w:rPr>
          <w:szCs w:val="28"/>
        </w:rPr>
        <w:t>Допуск к механизму гарантийной поддержки без повторного андеррайтинга осуществляется для подсегмента ПАО Сбербанк «Корпоративный бизнес» в рамках продуктов «Пополнение оборотных средств», «Инвестиционное кредитование» и для подсегмента ПАО Сбербанк «Микро и Малый бизнес» в рамках продуктов «Инвестиционный кредит», «Оборотный кредит», «Овердрафтный кредит», «Кредит на проект» и «Гарантия» с учетом следующих условий и ограничений:</w:t>
      </w:r>
    </w:p>
    <w:tbl>
      <w:tblPr>
        <w:tblW w:w="9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194"/>
        <w:gridCol w:w="3814"/>
      </w:tblGrid>
      <w:tr w:rsidR="00EE1181" w:rsidRPr="002E19A4" w14:paraId="7A96E0D9" w14:textId="77777777" w:rsidTr="00EE1181">
        <w:trPr>
          <w:trHeight w:val="465"/>
        </w:trPr>
        <w:tc>
          <w:tcPr>
            <w:tcW w:w="491" w:type="dxa"/>
            <w:shd w:val="clear" w:color="auto" w:fill="auto"/>
            <w:noWrap/>
            <w:vAlign w:val="center"/>
            <w:hideMark/>
          </w:tcPr>
          <w:p w14:paraId="7628F524" w14:textId="77777777" w:rsidR="00EE1181" w:rsidRPr="002E19A4" w:rsidRDefault="00EE1181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1C516B87" w14:textId="77777777" w:rsidR="00EE1181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Поручительство предоставляется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 в рамках кредитных договоров, заключаемых после 01 января 2019 г.</w:t>
            </w:r>
          </w:p>
        </w:tc>
      </w:tr>
      <w:tr w:rsidR="00EE1181" w:rsidRPr="002E19A4" w14:paraId="7F36FB82" w14:textId="77777777" w:rsidTr="00A12936">
        <w:trPr>
          <w:trHeight w:val="339"/>
        </w:trPr>
        <w:tc>
          <w:tcPr>
            <w:tcW w:w="491" w:type="dxa"/>
            <w:shd w:val="clear" w:color="auto" w:fill="auto"/>
            <w:noWrap/>
            <w:vAlign w:val="center"/>
            <w:hideMark/>
          </w:tcPr>
          <w:p w14:paraId="093CD7A0" w14:textId="77777777" w:rsidR="00EE1181" w:rsidRPr="002E19A4" w:rsidRDefault="00EE1181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7E28D316" w14:textId="67BD0107" w:rsidR="00EE1181" w:rsidRPr="002E19A4" w:rsidRDefault="00F92DD8" w:rsidP="00F92D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Поручительство предоставляется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 в размере от </w:t>
            </w:r>
            <w:r w:rsidR="000171A7" w:rsidRPr="002E19A4">
              <w:rPr>
                <w:color w:val="000000"/>
                <w:sz w:val="22"/>
                <w:szCs w:val="22"/>
                <w:lang w:eastAsia="ru-RU"/>
              </w:rPr>
              <w:t xml:space="preserve">0 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млн рублей и до </w:t>
            </w:r>
            <w:r w:rsidR="00906AFB" w:rsidRPr="002E19A4">
              <w:rPr>
                <w:color w:val="000000"/>
                <w:sz w:val="22"/>
                <w:szCs w:val="22"/>
                <w:lang w:eastAsia="ru-RU"/>
              </w:rPr>
              <w:t xml:space="preserve">15 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млн рублей </w:t>
            </w:r>
          </w:p>
        </w:tc>
      </w:tr>
      <w:tr w:rsidR="00EE1181" w:rsidRPr="002E19A4" w14:paraId="551B85CF" w14:textId="77777777" w:rsidTr="00EE1181">
        <w:trPr>
          <w:trHeight w:val="900"/>
        </w:trPr>
        <w:tc>
          <w:tcPr>
            <w:tcW w:w="491" w:type="dxa"/>
            <w:shd w:val="clear" w:color="auto" w:fill="auto"/>
            <w:noWrap/>
            <w:vAlign w:val="center"/>
            <w:hideMark/>
          </w:tcPr>
          <w:p w14:paraId="7B5BA8A1" w14:textId="77777777" w:rsidR="00EE1181" w:rsidRPr="002E19A4" w:rsidRDefault="00EE1181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066112D1" w14:textId="77777777" w:rsidR="00EE1181" w:rsidRPr="002E19A4" w:rsidRDefault="00EE1181" w:rsidP="00F92D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 xml:space="preserve">В рамках Механизма не предоставляются </w:t>
            </w:r>
            <w:r w:rsidR="00F92DD8" w:rsidRPr="002E19A4">
              <w:rPr>
                <w:color w:val="000000"/>
                <w:sz w:val="22"/>
                <w:szCs w:val="22"/>
                <w:lang w:eastAsia="ru-RU"/>
              </w:rPr>
              <w:t>поручительства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t xml:space="preserve"> заемщикам, по обязательствам которых </w:t>
            </w:r>
            <w:r w:rsidR="00F92DD8" w:rsidRPr="002E19A4">
              <w:rPr>
                <w:color w:val="000000"/>
                <w:sz w:val="22"/>
                <w:szCs w:val="22"/>
                <w:lang w:eastAsia="ru-RU"/>
              </w:rPr>
              <w:t>ПАО Сбербанк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t xml:space="preserve"> проводилась или проводится реструктуризация (в определении п. 3.7.2.2 Положения Банка России № 590-П), не связанная с изменением процентной ставки.</w:t>
            </w:r>
          </w:p>
        </w:tc>
      </w:tr>
      <w:tr w:rsidR="00EE1181" w:rsidRPr="002E19A4" w14:paraId="677C66A8" w14:textId="77777777" w:rsidTr="00EE1181">
        <w:trPr>
          <w:trHeight w:val="1680"/>
        </w:trPr>
        <w:tc>
          <w:tcPr>
            <w:tcW w:w="491" w:type="dxa"/>
            <w:shd w:val="clear" w:color="auto" w:fill="auto"/>
            <w:noWrap/>
            <w:vAlign w:val="center"/>
            <w:hideMark/>
          </w:tcPr>
          <w:p w14:paraId="1BE944A5" w14:textId="77777777" w:rsidR="00EE1181" w:rsidRPr="002E19A4" w:rsidRDefault="00EE1181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5EFB3DBD" w14:textId="77777777" w:rsidR="00EE1181" w:rsidRPr="002E19A4" w:rsidRDefault="00F92DD8" w:rsidP="00F92D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ПАО Сбербанк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 включает в раздел 5 Заявки на предоставление гарантий (Приложение № </w:t>
            </w:r>
            <w:r w:rsidR="003820CE" w:rsidRPr="002E19A4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 к </w:t>
            </w:r>
            <w:r w:rsidR="00906AFB" w:rsidRPr="002E19A4">
              <w:rPr>
                <w:color w:val="000000"/>
                <w:sz w:val="22"/>
                <w:szCs w:val="22"/>
                <w:lang w:eastAsia="ru-RU"/>
              </w:rPr>
              <w:t xml:space="preserve">настоящей 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t>Политике МСП ПК»</w:t>
            </w:r>
            <w:r w:rsidR="00392CF5" w:rsidRPr="002E19A4">
              <w:rPr>
                <w:color w:val="000000"/>
                <w:sz w:val="22"/>
                <w:szCs w:val="22"/>
                <w:lang w:eastAsia="ru-RU"/>
              </w:rPr>
              <w:t>)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 xml:space="preserve"> пункт со следующим содержанием </w:t>
            </w:r>
            <w:r w:rsidR="00EE1181" w:rsidRPr="002E19A4">
              <w:rPr>
                <w:i/>
                <w:iCs/>
                <w:color w:val="000000"/>
                <w:sz w:val="22"/>
                <w:szCs w:val="22"/>
                <w:lang w:eastAsia="ru-RU"/>
              </w:rPr>
              <w:t>«В отношении указанного Заемщика ПАО Сбербанк не проводится (в рамках кредита, обеспечиваем</w:t>
            </w:r>
            <w:r w:rsidRPr="002E19A4">
              <w:rPr>
                <w:i/>
                <w:iCs/>
                <w:color w:val="000000"/>
                <w:sz w:val="22"/>
                <w:szCs w:val="22"/>
                <w:lang w:eastAsia="ru-RU"/>
              </w:rPr>
              <w:t>ым</w:t>
            </w:r>
            <w:r w:rsidR="00EE1181" w:rsidRPr="002E19A4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E19A4">
              <w:rPr>
                <w:i/>
                <w:iCs/>
                <w:color w:val="000000"/>
                <w:sz w:val="22"/>
                <w:szCs w:val="22"/>
                <w:lang w:eastAsia="ru-RU"/>
              </w:rPr>
              <w:t>поручительством</w:t>
            </w:r>
            <w:r w:rsidR="00EE1181" w:rsidRPr="002E19A4">
              <w:rPr>
                <w:i/>
                <w:iCs/>
                <w:color w:val="000000"/>
                <w:sz w:val="22"/>
                <w:szCs w:val="22"/>
                <w:lang w:eastAsia="ru-RU"/>
              </w:rPr>
              <w:t>) и не проводилась ранее реструктуризация кредитов (в определении п. 3.7.2.2 Положения Банка России 590-П), не связанная с изменением процентной ставки»</w:t>
            </w:r>
            <w:r w:rsidR="00EE1181" w:rsidRPr="002E19A4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F92DD8" w:rsidRPr="002E19A4" w14:paraId="50CB4651" w14:textId="77777777" w:rsidTr="006003D5">
        <w:trPr>
          <w:trHeight w:val="3031"/>
        </w:trPr>
        <w:tc>
          <w:tcPr>
            <w:tcW w:w="491" w:type="dxa"/>
            <w:shd w:val="clear" w:color="auto" w:fill="auto"/>
            <w:noWrap/>
            <w:vAlign w:val="center"/>
            <w:hideMark/>
          </w:tcPr>
          <w:p w14:paraId="2A7B238F" w14:textId="77777777" w:rsidR="00F92DD8" w:rsidRPr="002E19A4" w:rsidRDefault="00F92DD8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510FE756" w14:textId="77777777" w:rsidR="00F92DD8" w:rsidRPr="002E19A4" w:rsidRDefault="00F92DD8" w:rsidP="00F92DD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 xml:space="preserve">В рамках Механизма предоставляются поручительства по заемщикам подсегмента «Корпоративный бизнес» с рейтингом, </w:t>
            </w:r>
            <w:proofErr w:type="gramStart"/>
            <w:r w:rsidRPr="002E19A4">
              <w:rPr>
                <w:color w:val="000000"/>
                <w:sz w:val="22"/>
                <w:szCs w:val="22"/>
                <w:lang w:eastAsia="ru-RU"/>
              </w:rPr>
              <w:t>определенным согласно модели Банка</w:t>
            </w:r>
            <w:r w:rsidR="00906AFB" w:rsidRPr="002E19A4">
              <w:rPr>
                <w:color w:val="000000"/>
                <w:sz w:val="22"/>
                <w:szCs w:val="22"/>
                <w:lang w:eastAsia="ru-RU"/>
              </w:rPr>
              <w:t>-партнера</w:t>
            </w:r>
            <w:proofErr w:type="gramEnd"/>
            <w:r w:rsidRPr="002E19A4">
              <w:rPr>
                <w:color w:val="000000"/>
                <w:sz w:val="22"/>
                <w:szCs w:val="22"/>
                <w:lang w:eastAsia="ru-RU"/>
              </w:rPr>
              <w:t xml:space="preserve"> «Корпоративные клиенты-резиденты РФ»:</w:t>
            </w:r>
          </w:p>
          <w:p w14:paraId="6A2AA588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1, 2, 3, 4, 5, 6, 7, 8, 9, 10, 11, 12, 13 по обязательствам, срок которых не превышает 180 месяцев;</w:t>
            </w:r>
          </w:p>
          <w:p w14:paraId="011D43B4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14 по обязательствам, срок которых не превышает 156 месяцев;</w:t>
            </w:r>
          </w:p>
          <w:p w14:paraId="5ABAF614" w14:textId="77777777" w:rsidR="00F92DD8" w:rsidRPr="002E19A4" w:rsidRDefault="00F92DD8" w:rsidP="00EE118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15 по обязательствам, срок которых не превышает 84 месяца;</w:t>
            </w:r>
          </w:p>
          <w:p w14:paraId="517F451E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16 по обязательствам, срок которых не превышает 60 месяцев;</w:t>
            </w:r>
          </w:p>
          <w:p w14:paraId="1A8B6BC3" w14:textId="77777777" w:rsidR="00F92DD8" w:rsidRPr="002E19A4" w:rsidRDefault="00F92DD8" w:rsidP="00EE118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17 по обязательствам, срок которых не превышает 24 месяца.</w:t>
            </w:r>
          </w:p>
          <w:p w14:paraId="71B1E5D6" w14:textId="77777777" w:rsidR="00F92DD8" w:rsidRPr="002E19A4" w:rsidRDefault="00F92DD8" w:rsidP="00EE118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b/>
                <w:bCs/>
                <w:color w:val="000000"/>
                <w:sz w:val="22"/>
                <w:szCs w:val="22"/>
                <w:lang w:eastAsia="ru-RU"/>
              </w:rPr>
              <w:t>По рейтингам 18, 19, 20, 21, 22, 23, 24, 25, 26 гарантии не предоставляются вне зависимости от сроков обязательств.</w:t>
            </w:r>
          </w:p>
        </w:tc>
      </w:tr>
      <w:tr w:rsidR="00F92DD8" w:rsidRPr="002E19A4" w14:paraId="1AD27399" w14:textId="77777777" w:rsidTr="0011384E">
        <w:trPr>
          <w:trHeight w:val="2721"/>
        </w:trPr>
        <w:tc>
          <w:tcPr>
            <w:tcW w:w="491" w:type="dxa"/>
            <w:shd w:val="clear" w:color="auto" w:fill="auto"/>
            <w:noWrap/>
            <w:vAlign w:val="center"/>
            <w:hideMark/>
          </w:tcPr>
          <w:p w14:paraId="215569C5" w14:textId="77777777" w:rsidR="00F92DD8" w:rsidRPr="002E19A4" w:rsidRDefault="00F92DD8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lastRenderedPageBreak/>
              <w:t>5.2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64C763F6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В рамках Механизма предоставляются гарантии по заемщикам подсегмента «Микро и Малый бизнес» с рейтингом, определенным согласно модели Банка</w:t>
            </w:r>
            <w:r w:rsidR="00906AFB" w:rsidRPr="002E19A4">
              <w:rPr>
                <w:color w:val="000000"/>
                <w:sz w:val="22"/>
                <w:szCs w:val="22"/>
                <w:lang w:eastAsia="ru-RU"/>
              </w:rPr>
              <w:t>-партнера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t xml:space="preserve"> «Интегральная рейтинговая модель клиентов риск-сегмента «Малый бизнес»:</w:t>
            </w:r>
          </w:p>
          <w:p w14:paraId="5052B373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1, 2, 3, 4, 5, 6, 7, 8, 9, 10, 11, 12, 13, 14 по обязательствам, срок которых не превышает 120 месяцев;</w:t>
            </w:r>
          </w:p>
          <w:p w14:paraId="0FBB2FE0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15 по обязательствам, срок которых не превышает 84 месяца;</w:t>
            </w:r>
          </w:p>
          <w:p w14:paraId="1B2869D6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16 по обязательствам, срок которых не превышает 48 месяцев;</w:t>
            </w:r>
          </w:p>
          <w:p w14:paraId="7870F8D3" w14:textId="77777777" w:rsidR="00F92DD8" w:rsidRPr="002E19A4" w:rsidRDefault="00F92DD8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17 по обязательствам, срок которых не превышает 24 месяца.</w:t>
            </w:r>
          </w:p>
          <w:p w14:paraId="2106BECD" w14:textId="77777777" w:rsidR="00F92DD8" w:rsidRPr="002E19A4" w:rsidRDefault="00F92DD8" w:rsidP="00EE118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b/>
                <w:bCs/>
                <w:color w:val="000000"/>
                <w:sz w:val="22"/>
                <w:szCs w:val="22"/>
                <w:lang w:eastAsia="ru-RU"/>
              </w:rPr>
              <w:t>По рейтингам 18, 19, 20, 21, 22, 23, 24, 25, 26 гарантии не предоставляются вне зависимости от сроков обязательств.</w:t>
            </w:r>
          </w:p>
        </w:tc>
      </w:tr>
      <w:tr w:rsidR="00EE1181" w:rsidRPr="002E19A4" w14:paraId="5D2731CE" w14:textId="77777777" w:rsidTr="00EE1181">
        <w:trPr>
          <w:trHeight w:val="315"/>
        </w:trPr>
        <w:tc>
          <w:tcPr>
            <w:tcW w:w="491" w:type="dxa"/>
            <w:vMerge w:val="restart"/>
            <w:shd w:val="clear" w:color="auto" w:fill="auto"/>
            <w:noWrap/>
            <w:vAlign w:val="center"/>
            <w:hideMark/>
          </w:tcPr>
          <w:p w14:paraId="16A9861B" w14:textId="77777777" w:rsidR="00EE1181" w:rsidRPr="002E19A4" w:rsidRDefault="00EE1181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008A8544" w14:textId="77777777" w:rsidR="00EE1181" w:rsidRPr="002E19A4" w:rsidRDefault="00EE1181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- Для подсегмента «Корпоративный бизнес» устанавливается следующая целевая структура рейтингов:</w:t>
            </w:r>
          </w:p>
        </w:tc>
      </w:tr>
      <w:tr w:rsidR="00D014FB" w:rsidRPr="002E19A4" w14:paraId="3E4BA8EB" w14:textId="77777777" w:rsidTr="00974693">
        <w:trPr>
          <w:trHeight w:val="300"/>
        </w:trPr>
        <w:tc>
          <w:tcPr>
            <w:tcW w:w="491" w:type="dxa"/>
            <w:vMerge/>
            <w:vAlign w:val="center"/>
            <w:hideMark/>
          </w:tcPr>
          <w:p w14:paraId="43AE9D34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noWrap/>
            <w:vAlign w:val="bottom"/>
            <w:hideMark/>
          </w:tcPr>
          <w:p w14:paraId="1CD1B261" w14:textId="77777777" w:rsidR="00D014FB" w:rsidRPr="002E19A4" w:rsidRDefault="00D014FB" w:rsidP="0084563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Рейтинг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14:paraId="33B4E897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Доля рейтинга для целевой структуры</w:t>
            </w:r>
          </w:p>
        </w:tc>
      </w:tr>
      <w:tr w:rsidR="00D014FB" w:rsidRPr="002E19A4" w14:paraId="6EA558F4" w14:textId="77777777" w:rsidTr="005F7BF1">
        <w:trPr>
          <w:trHeight w:val="945"/>
        </w:trPr>
        <w:tc>
          <w:tcPr>
            <w:tcW w:w="491" w:type="dxa"/>
            <w:vMerge/>
            <w:vAlign w:val="center"/>
            <w:hideMark/>
          </w:tcPr>
          <w:p w14:paraId="779C24D2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vAlign w:val="center"/>
            <w:hideMark/>
          </w:tcPr>
          <w:p w14:paraId="3C3D8A3E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рейтинг 1 – 13 (срок до 120 мес. включительно)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14 (срок до 72 мес. включительно)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15 (срок до 36 мес. включительно)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14:paraId="1FED5367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не менее 60,0%</w:t>
            </w:r>
          </w:p>
        </w:tc>
      </w:tr>
      <w:tr w:rsidR="00D014FB" w:rsidRPr="002E19A4" w14:paraId="3FB048DD" w14:textId="77777777" w:rsidTr="006C2463">
        <w:trPr>
          <w:trHeight w:val="1545"/>
        </w:trPr>
        <w:tc>
          <w:tcPr>
            <w:tcW w:w="491" w:type="dxa"/>
            <w:vMerge/>
            <w:vAlign w:val="center"/>
            <w:hideMark/>
          </w:tcPr>
          <w:p w14:paraId="58526DDE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vAlign w:val="center"/>
            <w:hideMark/>
          </w:tcPr>
          <w:p w14:paraId="6D4DC6C5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рейтинг «1» – «13» (срок более 120 мес.)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«14» (срок более 72 мес.)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«15» (срок более 36 мес.)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«16»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«17»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14:paraId="5BCF6DB3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не более 40,0%</w:t>
            </w:r>
          </w:p>
        </w:tc>
      </w:tr>
      <w:tr w:rsidR="00D014FB" w:rsidRPr="002E19A4" w14:paraId="4D1A910C" w14:textId="77777777" w:rsidTr="00236992">
        <w:trPr>
          <w:trHeight w:val="300"/>
        </w:trPr>
        <w:tc>
          <w:tcPr>
            <w:tcW w:w="491" w:type="dxa"/>
            <w:vMerge w:val="restart"/>
            <w:shd w:val="clear" w:color="auto" w:fill="auto"/>
            <w:noWrap/>
            <w:vAlign w:val="center"/>
            <w:hideMark/>
          </w:tcPr>
          <w:p w14:paraId="68E82225" w14:textId="77777777" w:rsidR="00D014FB" w:rsidRPr="002E19A4" w:rsidRDefault="00D014FB" w:rsidP="00EE118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9008" w:type="dxa"/>
            <w:gridSpan w:val="2"/>
            <w:shd w:val="clear" w:color="auto" w:fill="auto"/>
            <w:noWrap/>
            <w:vAlign w:val="bottom"/>
            <w:hideMark/>
          </w:tcPr>
          <w:p w14:paraId="2C72D9CE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- Для подсегмента «Микро и Малый бизнес» устанавливается следующая целевая структура рейтингов:</w:t>
            </w:r>
          </w:p>
        </w:tc>
      </w:tr>
      <w:tr w:rsidR="00D014FB" w:rsidRPr="002E19A4" w14:paraId="30686F9E" w14:textId="77777777" w:rsidTr="007E1969">
        <w:trPr>
          <w:trHeight w:val="300"/>
        </w:trPr>
        <w:tc>
          <w:tcPr>
            <w:tcW w:w="491" w:type="dxa"/>
            <w:vMerge/>
            <w:vAlign w:val="center"/>
            <w:hideMark/>
          </w:tcPr>
          <w:p w14:paraId="0F3B51B4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noWrap/>
            <w:vAlign w:val="bottom"/>
            <w:hideMark/>
          </w:tcPr>
          <w:p w14:paraId="71BA1FC8" w14:textId="77777777" w:rsidR="00D014FB" w:rsidRPr="002E19A4" w:rsidRDefault="00D014FB" w:rsidP="00D6298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Рейтинг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14:paraId="0C62411B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Доля рейтинга для целевой структуры</w:t>
            </w:r>
          </w:p>
        </w:tc>
      </w:tr>
      <w:tr w:rsidR="00D014FB" w:rsidRPr="002E19A4" w14:paraId="5662127F" w14:textId="77777777" w:rsidTr="00E86DE7">
        <w:trPr>
          <w:trHeight w:val="690"/>
        </w:trPr>
        <w:tc>
          <w:tcPr>
            <w:tcW w:w="491" w:type="dxa"/>
            <w:vMerge/>
            <w:vAlign w:val="center"/>
            <w:hideMark/>
          </w:tcPr>
          <w:p w14:paraId="318ECCD4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vAlign w:val="center"/>
            <w:hideMark/>
          </w:tcPr>
          <w:p w14:paraId="4E549EFB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рейтинг 1 - 12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13 - 14 (срок до 60 мес. включительно)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14:paraId="1F63E558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не менее 70,0%</w:t>
            </w:r>
          </w:p>
        </w:tc>
      </w:tr>
      <w:tr w:rsidR="00D014FB" w:rsidRPr="002E19A4" w14:paraId="678AFE2C" w14:textId="77777777" w:rsidTr="001D5653">
        <w:trPr>
          <w:trHeight w:val="720"/>
        </w:trPr>
        <w:tc>
          <w:tcPr>
            <w:tcW w:w="491" w:type="dxa"/>
            <w:vMerge/>
            <w:vAlign w:val="center"/>
            <w:hideMark/>
          </w:tcPr>
          <w:p w14:paraId="0B6C6E74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vAlign w:val="center"/>
            <w:hideMark/>
          </w:tcPr>
          <w:p w14:paraId="59D60339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рейтинг 13 - 14 (срок более 60 мес.)</w:t>
            </w:r>
            <w:r w:rsidRPr="002E19A4">
              <w:rPr>
                <w:color w:val="000000"/>
                <w:sz w:val="22"/>
                <w:szCs w:val="22"/>
                <w:lang w:eastAsia="ru-RU"/>
              </w:rPr>
              <w:br/>
              <w:t>рейтинг 15 - 17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14:paraId="02468C8F" w14:textId="77777777" w:rsidR="00D014FB" w:rsidRPr="002E19A4" w:rsidRDefault="00D014FB" w:rsidP="00EE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E19A4">
              <w:rPr>
                <w:color w:val="000000"/>
                <w:sz w:val="22"/>
                <w:szCs w:val="22"/>
                <w:lang w:eastAsia="ru-RU"/>
              </w:rPr>
              <w:t>не более 30,0%</w:t>
            </w:r>
          </w:p>
        </w:tc>
      </w:tr>
    </w:tbl>
    <w:p w14:paraId="5A45CEFA" w14:textId="72AA1E1E" w:rsidR="00EE1181" w:rsidRDefault="00EE1181" w:rsidP="005E400D">
      <w:pPr>
        <w:jc w:val="right"/>
        <w:rPr>
          <w:sz w:val="20"/>
        </w:rPr>
      </w:pPr>
    </w:p>
    <w:p w14:paraId="07FE305F" w14:textId="19943618" w:rsidR="003A2083" w:rsidRPr="003A2083" w:rsidRDefault="003A2083" w:rsidP="003A2083">
      <w:pPr>
        <w:ind w:firstLine="567"/>
        <w:jc w:val="both"/>
        <w:rPr>
          <w:sz w:val="22"/>
          <w:szCs w:val="22"/>
        </w:rPr>
      </w:pPr>
      <w:r w:rsidRPr="003A2083">
        <w:rPr>
          <w:sz w:val="22"/>
          <w:szCs w:val="22"/>
        </w:rPr>
        <w:t>Настоящие условия определены протоколом заседания Правления АО «Корпорация «МСП» от 19.04.</w:t>
      </w:r>
      <w:r w:rsidR="009E37F3">
        <w:rPr>
          <w:sz w:val="22"/>
          <w:szCs w:val="22"/>
        </w:rPr>
        <w:t>20</w:t>
      </w:r>
      <w:r w:rsidRPr="003A2083">
        <w:rPr>
          <w:sz w:val="22"/>
          <w:szCs w:val="22"/>
        </w:rPr>
        <w:t xml:space="preserve">19 </w:t>
      </w:r>
      <w:r w:rsidR="009E37F3">
        <w:rPr>
          <w:sz w:val="22"/>
          <w:szCs w:val="22"/>
        </w:rPr>
        <w:t xml:space="preserve">г. </w:t>
      </w:r>
      <w:r w:rsidR="009E37F3" w:rsidRPr="003A2083">
        <w:rPr>
          <w:sz w:val="22"/>
          <w:szCs w:val="22"/>
        </w:rPr>
        <w:t>№</w:t>
      </w:r>
      <w:r w:rsidR="009E37F3">
        <w:rPr>
          <w:sz w:val="22"/>
          <w:szCs w:val="22"/>
        </w:rPr>
        <w:t xml:space="preserve"> </w:t>
      </w:r>
      <w:r w:rsidR="009E37F3" w:rsidRPr="003A2083">
        <w:rPr>
          <w:sz w:val="22"/>
          <w:szCs w:val="22"/>
        </w:rPr>
        <w:t xml:space="preserve">1278/19 </w:t>
      </w:r>
      <w:r w:rsidRPr="003A2083">
        <w:rPr>
          <w:sz w:val="22"/>
          <w:szCs w:val="22"/>
        </w:rPr>
        <w:t>(с изм. и доп.)</w:t>
      </w:r>
    </w:p>
    <w:p w14:paraId="32AD27C4" w14:textId="37DB5548" w:rsidR="003A2083" w:rsidRPr="003A2083" w:rsidRDefault="003A2083" w:rsidP="005E400D">
      <w:pPr>
        <w:jc w:val="right"/>
        <w:rPr>
          <w:sz w:val="22"/>
          <w:szCs w:val="22"/>
        </w:rPr>
      </w:pPr>
    </w:p>
    <w:p w14:paraId="74638524" w14:textId="28F7BC0D" w:rsidR="003A2083" w:rsidRDefault="003A2083" w:rsidP="005E400D">
      <w:pPr>
        <w:jc w:val="right"/>
        <w:rPr>
          <w:sz w:val="20"/>
        </w:rPr>
      </w:pPr>
    </w:p>
    <w:p w14:paraId="42F60FDF" w14:textId="74CBACFC" w:rsidR="003A2083" w:rsidRDefault="003A2083" w:rsidP="005E400D">
      <w:pPr>
        <w:jc w:val="right"/>
        <w:rPr>
          <w:sz w:val="20"/>
        </w:rPr>
      </w:pPr>
    </w:p>
    <w:p w14:paraId="44B82A9F" w14:textId="6847DEF7" w:rsidR="003A2083" w:rsidRDefault="003A2083" w:rsidP="005E400D">
      <w:pPr>
        <w:jc w:val="right"/>
        <w:rPr>
          <w:sz w:val="20"/>
        </w:rPr>
      </w:pPr>
    </w:p>
    <w:p w14:paraId="28419554" w14:textId="770A8B0F" w:rsidR="003A2083" w:rsidRDefault="003A2083" w:rsidP="005E400D">
      <w:pPr>
        <w:jc w:val="right"/>
        <w:rPr>
          <w:sz w:val="20"/>
        </w:rPr>
      </w:pPr>
    </w:p>
    <w:p w14:paraId="6A85AC97" w14:textId="253B1DA9" w:rsidR="003A2083" w:rsidRDefault="003A2083" w:rsidP="005E400D">
      <w:pPr>
        <w:jc w:val="right"/>
        <w:rPr>
          <w:sz w:val="20"/>
        </w:rPr>
      </w:pPr>
    </w:p>
    <w:p w14:paraId="67ED9916" w14:textId="2116BFC7" w:rsidR="003A2083" w:rsidRDefault="003A2083" w:rsidP="005E400D">
      <w:pPr>
        <w:jc w:val="right"/>
        <w:rPr>
          <w:sz w:val="20"/>
        </w:rPr>
      </w:pPr>
    </w:p>
    <w:p w14:paraId="00C80685" w14:textId="06135F6C" w:rsidR="003A2083" w:rsidRDefault="003A2083" w:rsidP="005E400D">
      <w:pPr>
        <w:jc w:val="right"/>
        <w:rPr>
          <w:sz w:val="20"/>
        </w:rPr>
      </w:pPr>
    </w:p>
    <w:p w14:paraId="304077FE" w14:textId="77777777" w:rsidR="003A2083" w:rsidRDefault="003A2083" w:rsidP="005E400D">
      <w:pPr>
        <w:jc w:val="right"/>
        <w:rPr>
          <w:sz w:val="20"/>
        </w:rPr>
      </w:pPr>
    </w:p>
    <w:p w14:paraId="1DCD6046" w14:textId="77777777" w:rsidR="003A2083" w:rsidRDefault="003A2083" w:rsidP="003A2083">
      <w:pPr>
        <w:jc w:val="center"/>
        <w:rPr>
          <w:b/>
          <w:bCs/>
          <w:szCs w:val="28"/>
        </w:rPr>
      </w:pPr>
    </w:p>
    <w:p w14:paraId="0C9126CA" w14:textId="77777777" w:rsidR="003A2083" w:rsidRDefault="003A2083" w:rsidP="003A2083">
      <w:pPr>
        <w:jc w:val="center"/>
        <w:rPr>
          <w:b/>
          <w:bCs/>
          <w:szCs w:val="28"/>
        </w:rPr>
      </w:pPr>
    </w:p>
    <w:p w14:paraId="3C3430DF" w14:textId="77777777" w:rsidR="003A2083" w:rsidRDefault="003A2083" w:rsidP="003A2083">
      <w:pPr>
        <w:jc w:val="center"/>
        <w:rPr>
          <w:b/>
          <w:bCs/>
          <w:szCs w:val="28"/>
        </w:rPr>
      </w:pPr>
    </w:p>
    <w:p w14:paraId="720E4870" w14:textId="77777777" w:rsidR="003A2083" w:rsidRDefault="003A2083" w:rsidP="003A2083">
      <w:pPr>
        <w:jc w:val="center"/>
        <w:rPr>
          <w:b/>
          <w:bCs/>
          <w:szCs w:val="28"/>
        </w:rPr>
      </w:pPr>
    </w:p>
    <w:p w14:paraId="5021F696" w14:textId="77777777" w:rsidR="003A2083" w:rsidRDefault="003A2083" w:rsidP="003A2083">
      <w:pPr>
        <w:jc w:val="center"/>
        <w:rPr>
          <w:b/>
          <w:bCs/>
          <w:szCs w:val="28"/>
          <w:highlight w:val="yellow"/>
        </w:rPr>
      </w:pPr>
    </w:p>
    <w:p w14:paraId="3BDD61FE" w14:textId="77777777" w:rsidR="003A2083" w:rsidRDefault="003A2083" w:rsidP="003A2083">
      <w:pPr>
        <w:jc w:val="center"/>
        <w:rPr>
          <w:b/>
          <w:bCs/>
          <w:szCs w:val="28"/>
          <w:highlight w:val="yellow"/>
        </w:rPr>
      </w:pPr>
    </w:p>
    <w:p w14:paraId="5AC04075" w14:textId="77777777" w:rsidR="003A2083" w:rsidRDefault="003A2083" w:rsidP="003A2083">
      <w:pPr>
        <w:jc w:val="center"/>
        <w:rPr>
          <w:b/>
          <w:bCs/>
          <w:szCs w:val="28"/>
          <w:highlight w:val="yellow"/>
        </w:rPr>
      </w:pPr>
    </w:p>
    <w:p w14:paraId="18A3D9A2" w14:textId="37052098" w:rsidR="003A2083" w:rsidRPr="00207673" w:rsidRDefault="003A2083" w:rsidP="004F30B9">
      <w:pPr>
        <w:pageBreakBefore/>
        <w:jc w:val="center"/>
        <w:rPr>
          <w:b/>
          <w:bCs/>
          <w:szCs w:val="28"/>
        </w:rPr>
      </w:pPr>
      <w:r w:rsidRPr="00207673">
        <w:rPr>
          <w:b/>
          <w:bCs/>
          <w:szCs w:val="28"/>
        </w:rPr>
        <w:lastRenderedPageBreak/>
        <w:t xml:space="preserve">Условия, установленные для Банка-партнера – </w:t>
      </w:r>
      <w:r w:rsidRPr="00207673">
        <w:rPr>
          <w:b/>
          <w:bCs/>
          <w:szCs w:val="28"/>
          <w:u w:val="single"/>
        </w:rPr>
        <w:t>Банка ВТБ (Публичное акционерное общество) (Банк ВТБ (ПАО)</w:t>
      </w:r>
      <w:r w:rsidRPr="00207673">
        <w:rPr>
          <w:b/>
          <w:bCs/>
          <w:szCs w:val="28"/>
        </w:rPr>
        <w:t xml:space="preserve"> в рамках механизма гарантийной поддержки без повторного андеррайтинга</w:t>
      </w:r>
    </w:p>
    <w:p w14:paraId="2CD78BAB" w14:textId="77777777" w:rsidR="003A2083" w:rsidRPr="00207673" w:rsidRDefault="003A2083" w:rsidP="00207673">
      <w:pPr>
        <w:spacing w:before="180"/>
        <w:ind w:firstLine="709"/>
        <w:jc w:val="both"/>
        <w:rPr>
          <w:szCs w:val="28"/>
        </w:rPr>
      </w:pPr>
      <w:r w:rsidRPr="00207673">
        <w:rPr>
          <w:szCs w:val="28"/>
        </w:rPr>
        <w:t xml:space="preserve">Допуск к механизму гарантийной поддержки без повторного андеррайтинга осуществляется для подсегмента Банка ВТБ (ПАО) для подсегмента «Стандартный» клиентского сегмента «Средний и малый бизнес» в рамках продуктов «Оборотный», «Оборотный. Урожайный </w:t>
      </w:r>
      <w:proofErr w:type="spellStart"/>
      <w:r w:rsidRPr="00207673">
        <w:rPr>
          <w:szCs w:val="28"/>
        </w:rPr>
        <w:t>бизнес_спец.условия</w:t>
      </w:r>
      <w:proofErr w:type="spellEnd"/>
      <w:r w:rsidRPr="00207673">
        <w:rPr>
          <w:szCs w:val="28"/>
        </w:rPr>
        <w:t xml:space="preserve">», «Инвестиционный», «Целевой»,  для </w:t>
      </w:r>
      <w:proofErr w:type="spellStart"/>
      <w:r w:rsidRPr="00207673">
        <w:rPr>
          <w:szCs w:val="28"/>
        </w:rPr>
        <w:t>посегмента</w:t>
      </w:r>
      <w:proofErr w:type="spellEnd"/>
      <w:r w:rsidRPr="00207673">
        <w:rPr>
          <w:szCs w:val="28"/>
        </w:rPr>
        <w:t xml:space="preserve"> Банка ВТБ (ПАО) «ВТБ ВС СМБ» клиентского сегмента «Верхний подсегмент категории «Средний и малый бизнес» в рамках кредитных продуктов «Разовый кредит», «Кредитная линия с лимитом выдачи/задолженности», «Овердрафт», «Рамочные кредитные соглашения без обязательства Банка по выдаче кредитных средств (кредитные линии </w:t>
      </w:r>
      <w:proofErr w:type="spellStart"/>
      <w:r w:rsidRPr="00207673">
        <w:rPr>
          <w:szCs w:val="28"/>
          <w:lang w:val="en-US"/>
        </w:rPr>
        <w:t>uncommited</w:t>
      </w:r>
      <w:proofErr w:type="spellEnd"/>
      <w:r w:rsidRPr="00207673">
        <w:rPr>
          <w:szCs w:val="28"/>
        </w:rPr>
        <w:t xml:space="preserve"> </w:t>
      </w:r>
      <w:r w:rsidRPr="00207673">
        <w:rPr>
          <w:szCs w:val="28"/>
          <w:lang w:val="en-US"/>
        </w:rPr>
        <w:t>lines</w:t>
      </w:r>
      <w:r w:rsidRPr="00207673">
        <w:rPr>
          <w:szCs w:val="28"/>
        </w:rPr>
        <w:t>, группа кредитов без обязательств)  с учетом следующих условий и ограничений:</w:t>
      </w:r>
    </w:p>
    <w:tbl>
      <w:tblPr>
        <w:tblW w:w="95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194"/>
        <w:gridCol w:w="3814"/>
      </w:tblGrid>
      <w:tr w:rsidR="003A2083" w:rsidRPr="00207673" w14:paraId="3B2D528E" w14:textId="77777777" w:rsidTr="00207673">
        <w:trPr>
          <w:trHeight w:val="46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415FCB4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3A8C8093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Поручительство предоставляется в рамках кредитных договоров, заключаемых после 01 января 2019 г.</w:t>
            </w:r>
          </w:p>
        </w:tc>
      </w:tr>
      <w:tr w:rsidR="003A2083" w:rsidRPr="00207673" w14:paraId="79B52A11" w14:textId="77777777" w:rsidTr="00207673">
        <w:trPr>
          <w:trHeight w:val="339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C4F28B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229999FC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Поручительство предоставляется в размере от 0 млн рублей и до 15 млн рублей </w:t>
            </w:r>
          </w:p>
        </w:tc>
      </w:tr>
      <w:tr w:rsidR="003A2083" w:rsidRPr="00207673" w14:paraId="0399A8E7" w14:textId="77777777" w:rsidTr="00207673">
        <w:trPr>
          <w:trHeight w:val="9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1BBFFE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61A149D0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В рамках Механизма не предоставляются поручительства заемщикам, по обязательствам которых Банк ВТБ (ПАО) проводилась или проводится реструктуризация (в определении п. 3.7.2.2 Положения Банка России № 590-П), не связанная с изменением процентной ставки.</w:t>
            </w:r>
          </w:p>
        </w:tc>
      </w:tr>
      <w:tr w:rsidR="003A2083" w:rsidRPr="00207673" w14:paraId="0185EA24" w14:textId="77777777" w:rsidTr="00207673">
        <w:trPr>
          <w:trHeight w:val="74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F14E74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1C5B9C3F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Банк ВТБ (ПАО) включает в раздел 5 Заявки на предоставление гарантий (Приложение № 3 к настоящей Политике МСП ПК») пункт со следующим содержанием </w:t>
            </w:r>
            <w:r w:rsidRPr="00207673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«В отношении указанного Заемщика </w:t>
            </w: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Банка ВТБ (ПАО) </w:t>
            </w:r>
            <w:r w:rsidRPr="00207673">
              <w:rPr>
                <w:i/>
                <w:iCs/>
                <w:color w:val="000000"/>
                <w:sz w:val="22"/>
                <w:szCs w:val="22"/>
                <w:lang w:eastAsia="ru-RU"/>
              </w:rPr>
              <w:t>не проводится (в рамках кредита, обеспечиваемым поручительством) и не проводилась ранее реструктуризация кредитов (в определении п. 3.7.2.2 Положения Банка России 590-П), не связанная с изменением процентной ставки»</w:t>
            </w:r>
            <w:r w:rsidRPr="0020767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3A2083" w:rsidRPr="00207673" w14:paraId="4A1F2467" w14:textId="77777777" w:rsidTr="00207673">
        <w:trPr>
          <w:trHeight w:val="1609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97424F9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47BB1948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В рамках Механизма предоставляются гарантии по заемщикам сегмента «Средний и малый бизнес» с рейтингом, </w:t>
            </w:r>
            <w:proofErr w:type="gramStart"/>
            <w:r w:rsidRPr="00207673">
              <w:rPr>
                <w:color w:val="000000"/>
                <w:sz w:val="22"/>
                <w:szCs w:val="22"/>
                <w:lang w:eastAsia="ru-RU"/>
              </w:rPr>
              <w:t>определенным согласно модели Банка-партнера</w:t>
            </w:r>
            <w:proofErr w:type="gramEnd"/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 «Модель оценки кредитного риска»: </w:t>
            </w:r>
          </w:p>
          <w:p w14:paraId="6FC5C6AB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А, В по обязательствам, срок которых не превышает 120 месяцев;</w:t>
            </w:r>
          </w:p>
          <w:p w14:paraId="116378AC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С по обязательствам в рамках продуктов «Оборотный», «Оборотный. Урожайный </w:t>
            </w:r>
            <w:proofErr w:type="spellStart"/>
            <w:r w:rsidRPr="00207673">
              <w:rPr>
                <w:color w:val="000000"/>
                <w:sz w:val="22"/>
                <w:szCs w:val="22"/>
                <w:lang w:eastAsia="ru-RU"/>
              </w:rPr>
              <w:t>бизнес_</w:t>
            </w:r>
            <w:proofErr w:type="gramStart"/>
            <w:r w:rsidRPr="00207673">
              <w:rPr>
                <w:color w:val="000000"/>
                <w:sz w:val="22"/>
                <w:szCs w:val="22"/>
                <w:lang w:eastAsia="ru-RU"/>
              </w:rPr>
              <w:t>спец.условия</w:t>
            </w:r>
            <w:proofErr w:type="spellEnd"/>
            <w:proofErr w:type="gramEnd"/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», «Целевой», а также по обязательствам, срок которых не превышает 12 месяцев; </w:t>
            </w:r>
          </w:p>
          <w:p w14:paraId="4E87C862" w14:textId="09C1EB86" w:rsidR="003A2083" w:rsidRPr="00207673" w:rsidRDefault="003A2083" w:rsidP="00207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По рейтингу </w:t>
            </w:r>
            <w:r w:rsidRPr="00207673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 гарантии не предоставляются вне зависимости от сроков обязательств. </w:t>
            </w:r>
          </w:p>
        </w:tc>
      </w:tr>
      <w:tr w:rsidR="003A2083" w:rsidRPr="00207673" w14:paraId="7AD83CF8" w14:textId="77777777" w:rsidTr="00207673">
        <w:trPr>
          <w:trHeight w:val="1128"/>
        </w:trPr>
        <w:tc>
          <w:tcPr>
            <w:tcW w:w="546" w:type="dxa"/>
            <w:shd w:val="clear" w:color="auto" w:fill="auto"/>
            <w:noWrap/>
            <w:vAlign w:val="center"/>
          </w:tcPr>
          <w:p w14:paraId="27C4643A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5.2. </w:t>
            </w:r>
          </w:p>
        </w:tc>
        <w:tc>
          <w:tcPr>
            <w:tcW w:w="9008" w:type="dxa"/>
            <w:gridSpan w:val="2"/>
            <w:shd w:val="clear" w:color="auto" w:fill="auto"/>
          </w:tcPr>
          <w:p w14:paraId="3445D29F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В рамках Механизма предоставляются гарантии по заемщикам сегмента «Верхний подсегмент категории «Средний и малый бизнес» с рейтингом, определенным согласно модели Банка-партнера «Методика ранжирования Клиентов среднего бизнеса Банка, утвержденная решением КУКР от 14.03.2019 №5»:</w:t>
            </w:r>
          </w:p>
          <w:p w14:paraId="2DFDC0BF" w14:textId="062F617C" w:rsidR="003A2083" w:rsidRPr="00207673" w:rsidRDefault="003A2083" w:rsidP="00207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 xml:space="preserve">А1, А2, А3, В1, В2, В3 по обязательствам, срок которых не превышает 84 месяца. </w:t>
            </w:r>
          </w:p>
        </w:tc>
      </w:tr>
      <w:tr w:rsidR="003A2083" w:rsidRPr="00207673" w14:paraId="30D153DF" w14:textId="77777777" w:rsidTr="00207673">
        <w:trPr>
          <w:trHeight w:val="315"/>
        </w:trPr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4A7F146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9008" w:type="dxa"/>
            <w:gridSpan w:val="2"/>
            <w:shd w:val="clear" w:color="auto" w:fill="auto"/>
            <w:hideMark/>
          </w:tcPr>
          <w:p w14:paraId="49DFFBF2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- Для сегмента «Средний и малый бизнес» устанавливается следующая целевая структура рейтингов:</w:t>
            </w:r>
          </w:p>
        </w:tc>
      </w:tr>
      <w:tr w:rsidR="003A2083" w:rsidRPr="00207673" w14:paraId="37658B52" w14:textId="77777777" w:rsidTr="00207673">
        <w:trPr>
          <w:trHeight w:val="70"/>
        </w:trPr>
        <w:tc>
          <w:tcPr>
            <w:tcW w:w="546" w:type="dxa"/>
            <w:vMerge/>
            <w:vAlign w:val="center"/>
            <w:hideMark/>
          </w:tcPr>
          <w:p w14:paraId="698B6D7F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noWrap/>
            <w:vAlign w:val="bottom"/>
            <w:hideMark/>
          </w:tcPr>
          <w:p w14:paraId="24F49906" w14:textId="77777777" w:rsidR="003A2083" w:rsidRPr="00207673" w:rsidRDefault="003A2083" w:rsidP="00BD62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Рейтинг</w:t>
            </w: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14:paraId="569F46A2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Доля рейтинга для целевой структуры</w:t>
            </w:r>
          </w:p>
        </w:tc>
      </w:tr>
      <w:tr w:rsidR="003A2083" w:rsidRPr="00207673" w14:paraId="53012899" w14:textId="77777777" w:rsidTr="00207673">
        <w:trPr>
          <w:trHeight w:val="945"/>
        </w:trPr>
        <w:tc>
          <w:tcPr>
            <w:tcW w:w="546" w:type="dxa"/>
            <w:vMerge/>
            <w:vAlign w:val="center"/>
            <w:hideMark/>
          </w:tcPr>
          <w:p w14:paraId="4D9E93CB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vAlign w:val="center"/>
            <w:hideMark/>
          </w:tcPr>
          <w:p w14:paraId="5798A5C4" w14:textId="67997D8C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рейтинг В (срок задолженности более 2 лет, но не более 10 лет)</w:t>
            </w:r>
            <w:r w:rsidRPr="00207673">
              <w:rPr>
                <w:color w:val="000000"/>
                <w:sz w:val="22"/>
                <w:szCs w:val="22"/>
                <w:lang w:eastAsia="ru-RU"/>
              </w:rPr>
              <w:br/>
              <w:t>рейтинг С (срок задолженности не более 1 года)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14:paraId="161C33F0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не более 80,0%</w:t>
            </w:r>
          </w:p>
        </w:tc>
      </w:tr>
      <w:tr w:rsidR="003A2083" w:rsidRPr="00207673" w14:paraId="378374D7" w14:textId="77777777" w:rsidTr="00207673">
        <w:trPr>
          <w:trHeight w:val="273"/>
        </w:trPr>
        <w:tc>
          <w:tcPr>
            <w:tcW w:w="546" w:type="dxa"/>
            <w:vMerge/>
            <w:vAlign w:val="center"/>
            <w:hideMark/>
          </w:tcPr>
          <w:p w14:paraId="6E7F4813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  <w:shd w:val="clear" w:color="auto" w:fill="auto"/>
            <w:vAlign w:val="center"/>
            <w:hideMark/>
          </w:tcPr>
          <w:p w14:paraId="23FD0095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рейтинг А (срок задолженности до 10 лет включительно)</w:t>
            </w:r>
            <w:r w:rsidRPr="00207673">
              <w:rPr>
                <w:color w:val="000000"/>
                <w:sz w:val="22"/>
                <w:szCs w:val="22"/>
                <w:lang w:eastAsia="ru-RU"/>
              </w:rPr>
              <w:br/>
              <w:t>рейтинг В (срок задолженности до 2 лет включительно)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14:paraId="3C0C1B63" w14:textId="77777777" w:rsidR="003A2083" w:rsidRPr="00207673" w:rsidRDefault="003A2083" w:rsidP="00BD62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7673">
              <w:rPr>
                <w:color w:val="000000"/>
                <w:sz w:val="22"/>
                <w:szCs w:val="22"/>
                <w:lang w:eastAsia="ru-RU"/>
              </w:rPr>
              <w:t>не менее 20,0%</w:t>
            </w:r>
          </w:p>
        </w:tc>
      </w:tr>
    </w:tbl>
    <w:p w14:paraId="6E77D42B" w14:textId="51E103C8" w:rsidR="003A2083" w:rsidRPr="00207673" w:rsidRDefault="007845E3" w:rsidP="00207673">
      <w:pPr>
        <w:ind w:firstLine="567"/>
        <w:jc w:val="both"/>
        <w:rPr>
          <w:sz w:val="22"/>
          <w:szCs w:val="22"/>
        </w:rPr>
      </w:pPr>
      <w:r w:rsidRPr="00207673">
        <w:rPr>
          <w:sz w:val="22"/>
          <w:szCs w:val="22"/>
        </w:rPr>
        <w:t xml:space="preserve">Настоящие условия определены протоколом заседания Правления АО «Корпорация «МСП» от 01.03.2018 </w:t>
      </w:r>
      <w:r w:rsidR="009E37F3" w:rsidRPr="00207673">
        <w:rPr>
          <w:sz w:val="22"/>
          <w:szCs w:val="22"/>
        </w:rPr>
        <w:t xml:space="preserve">г. </w:t>
      </w:r>
      <w:r w:rsidRPr="00207673">
        <w:rPr>
          <w:sz w:val="22"/>
          <w:szCs w:val="22"/>
        </w:rPr>
        <w:t>№ 932/18 (с изм. и доп.)</w:t>
      </w:r>
      <w:r w:rsidR="009E37F3" w:rsidRPr="00207673">
        <w:rPr>
          <w:sz w:val="22"/>
          <w:szCs w:val="22"/>
        </w:rPr>
        <w:t>.</w:t>
      </w:r>
    </w:p>
    <w:sectPr w:rsidR="003A2083" w:rsidRPr="00207673" w:rsidSect="00D07540">
      <w:footerReference w:type="default" r:id="rId7"/>
      <w:footnotePr>
        <w:numFmt w:val="chicago"/>
      </w:footnotePr>
      <w:pgSz w:w="11906" w:h="16838"/>
      <w:pgMar w:top="1134" w:right="849" w:bottom="851" w:left="1701" w:header="0" w:footer="319" w:gutter="0"/>
      <w:pgNumType w:start="105"/>
      <w:cols w:space="720"/>
      <w:formProt w:val="0"/>
      <w:docGrid w:linePitch="360" w:charSpace="-14337"/>
      <w:sectPrChange w:id="0" w:author="Аверин Александр Петрович" w:date="2024-10-30T15:45:00Z" w16du:dateUtc="2024-10-30T10:45:00Z">
        <w:sectPr w:rsidR="003A2083" w:rsidRPr="00207673" w:rsidSect="00D07540">
          <w:pgMar w:top="1134" w:right="849" w:bottom="851" w:left="1701" w:header="0" w:footer="31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5709" w14:textId="77777777" w:rsidR="00393C1A" w:rsidRDefault="00393C1A">
      <w:r>
        <w:separator/>
      </w:r>
    </w:p>
  </w:endnote>
  <w:endnote w:type="continuationSeparator" w:id="0">
    <w:p w14:paraId="494E1E7B" w14:textId="77777777" w:rsidR="00393C1A" w:rsidRDefault="0039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631189"/>
      <w:docPartObj>
        <w:docPartGallery w:val="Page Numbers (Bottom of Page)"/>
        <w:docPartUnique/>
      </w:docPartObj>
    </w:sdtPr>
    <w:sdtEndPr/>
    <w:sdtContent>
      <w:p w14:paraId="5BAAFEDE" w14:textId="77777777" w:rsidR="004F30B9" w:rsidRDefault="004F30B9">
        <w:pPr>
          <w:pStyle w:val="af2"/>
          <w:jc w:val="center"/>
        </w:pPr>
      </w:p>
      <w:p w14:paraId="5F99C177" w14:textId="1EE8950E" w:rsidR="00653F53" w:rsidRDefault="00653F5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F2227" w14:textId="77777777" w:rsidR="00BF6FBA" w:rsidRDefault="00BF6FB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6CD0" w14:textId="77777777" w:rsidR="00393C1A" w:rsidRDefault="00393C1A">
      <w:r>
        <w:separator/>
      </w:r>
    </w:p>
  </w:footnote>
  <w:footnote w:type="continuationSeparator" w:id="0">
    <w:p w14:paraId="1234778E" w14:textId="77777777" w:rsidR="00393C1A" w:rsidRDefault="00393C1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Аверин Александр Петрович">
    <w15:presenceInfo w15:providerId="AD" w15:userId="S-1-5-21-3823799672-3214352550-2857638377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BA"/>
    <w:rsid w:val="000171A7"/>
    <w:rsid w:val="00066418"/>
    <w:rsid w:val="000744DA"/>
    <w:rsid w:val="00083B0A"/>
    <w:rsid w:val="000B441A"/>
    <w:rsid w:val="000C03F9"/>
    <w:rsid w:val="000C0F01"/>
    <w:rsid w:val="000F27C1"/>
    <w:rsid w:val="001129F8"/>
    <w:rsid w:val="001374AA"/>
    <w:rsid w:val="00173D7F"/>
    <w:rsid w:val="00191524"/>
    <w:rsid w:val="001A0DBA"/>
    <w:rsid w:val="001A3D73"/>
    <w:rsid w:val="00200999"/>
    <w:rsid w:val="00206805"/>
    <w:rsid w:val="00207673"/>
    <w:rsid w:val="002364A7"/>
    <w:rsid w:val="00241C94"/>
    <w:rsid w:val="00244B16"/>
    <w:rsid w:val="002A5C3E"/>
    <w:rsid w:val="002B232F"/>
    <w:rsid w:val="002D070F"/>
    <w:rsid w:val="002E19A4"/>
    <w:rsid w:val="002E2477"/>
    <w:rsid w:val="0030117E"/>
    <w:rsid w:val="00322BCE"/>
    <w:rsid w:val="00325003"/>
    <w:rsid w:val="00350C15"/>
    <w:rsid w:val="003820CE"/>
    <w:rsid w:val="00382589"/>
    <w:rsid w:val="003827AD"/>
    <w:rsid w:val="00392CF5"/>
    <w:rsid w:val="00393C1A"/>
    <w:rsid w:val="00397FC0"/>
    <w:rsid w:val="003A0BAE"/>
    <w:rsid w:val="003A2083"/>
    <w:rsid w:val="003C2436"/>
    <w:rsid w:val="003D7930"/>
    <w:rsid w:val="003E12BC"/>
    <w:rsid w:val="003E42D7"/>
    <w:rsid w:val="003F2FB7"/>
    <w:rsid w:val="004036D1"/>
    <w:rsid w:val="0041373C"/>
    <w:rsid w:val="00422BBB"/>
    <w:rsid w:val="00436E0D"/>
    <w:rsid w:val="00440AD9"/>
    <w:rsid w:val="00461507"/>
    <w:rsid w:val="00470322"/>
    <w:rsid w:val="0048137A"/>
    <w:rsid w:val="004921FA"/>
    <w:rsid w:val="00492270"/>
    <w:rsid w:val="004A4EE2"/>
    <w:rsid w:val="004C7DEE"/>
    <w:rsid w:val="004F30B9"/>
    <w:rsid w:val="004F7C49"/>
    <w:rsid w:val="00511230"/>
    <w:rsid w:val="00536253"/>
    <w:rsid w:val="005424DA"/>
    <w:rsid w:val="0054601F"/>
    <w:rsid w:val="00551CEB"/>
    <w:rsid w:val="00561D91"/>
    <w:rsid w:val="005B4CFC"/>
    <w:rsid w:val="005D2629"/>
    <w:rsid w:val="005E400D"/>
    <w:rsid w:val="005F66BC"/>
    <w:rsid w:val="00604683"/>
    <w:rsid w:val="00616784"/>
    <w:rsid w:val="00625060"/>
    <w:rsid w:val="006463FA"/>
    <w:rsid w:val="00653F53"/>
    <w:rsid w:val="00654564"/>
    <w:rsid w:val="00677DA0"/>
    <w:rsid w:val="00692F56"/>
    <w:rsid w:val="006B31A8"/>
    <w:rsid w:val="006C0DB9"/>
    <w:rsid w:val="006C347E"/>
    <w:rsid w:val="006F6B38"/>
    <w:rsid w:val="00703084"/>
    <w:rsid w:val="00742764"/>
    <w:rsid w:val="00781CFC"/>
    <w:rsid w:val="007845E3"/>
    <w:rsid w:val="00794828"/>
    <w:rsid w:val="00794D99"/>
    <w:rsid w:val="007975AC"/>
    <w:rsid w:val="007B29A5"/>
    <w:rsid w:val="007C3CB8"/>
    <w:rsid w:val="007C707A"/>
    <w:rsid w:val="007D291B"/>
    <w:rsid w:val="007D78FD"/>
    <w:rsid w:val="007E22BC"/>
    <w:rsid w:val="007F2764"/>
    <w:rsid w:val="00806D38"/>
    <w:rsid w:val="008117A9"/>
    <w:rsid w:val="00831546"/>
    <w:rsid w:val="008358FA"/>
    <w:rsid w:val="00845638"/>
    <w:rsid w:val="008569A5"/>
    <w:rsid w:val="00860869"/>
    <w:rsid w:val="00870D9B"/>
    <w:rsid w:val="00891401"/>
    <w:rsid w:val="008A08CF"/>
    <w:rsid w:val="008A5AA3"/>
    <w:rsid w:val="008B168D"/>
    <w:rsid w:val="008B3030"/>
    <w:rsid w:val="00906AFB"/>
    <w:rsid w:val="009353F2"/>
    <w:rsid w:val="009632BF"/>
    <w:rsid w:val="00963C27"/>
    <w:rsid w:val="009644B1"/>
    <w:rsid w:val="00966F56"/>
    <w:rsid w:val="00984580"/>
    <w:rsid w:val="009E37F3"/>
    <w:rsid w:val="009E4B73"/>
    <w:rsid w:val="009F607B"/>
    <w:rsid w:val="00A11FF2"/>
    <w:rsid w:val="00A12936"/>
    <w:rsid w:val="00A25DD1"/>
    <w:rsid w:val="00A3197F"/>
    <w:rsid w:val="00A3788E"/>
    <w:rsid w:val="00A94596"/>
    <w:rsid w:val="00A948AB"/>
    <w:rsid w:val="00AA70AA"/>
    <w:rsid w:val="00AA7A21"/>
    <w:rsid w:val="00AB39D6"/>
    <w:rsid w:val="00AE517B"/>
    <w:rsid w:val="00AE70B7"/>
    <w:rsid w:val="00AF30CD"/>
    <w:rsid w:val="00AF3975"/>
    <w:rsid w:val="00B008BA"/>
    <w:rsid w:val="00B0798C"/>
    <w:rsid w:val="00B33B36"/>
    <w:rsid w:val="00B55C34"/>
    <w:rsid w:val="00B755C5"/>
    <w:rsid w:val="00B76F50"/>
    <w:rsid w:val="00BB14C5"/>
    <w:rsid w:val="00BD6C28"/>
    <w:rsid w:val="00BD6E9A"/>
    <w:rsid w:val="00BF6FBA"/>
    <w:rsid w:val="00C03DB2"/>
    <w:rsid w:val="00C07EDE"/>
    <w:rsid w:val="00C120B8"/>
    <w:rsid w:val="00C26189"/>
    <w:rsid w:val="00C70304"/>
    <w:rsid w:val="00CA0F9D"/>
    <w:rsid w:val="00CB0EF8"/>
    <w:rsid w:val="00CC5A56"/>
    <w:rsid w:val="00CF7A12"/>
    <w:rsid w:val="00CF7DE6"/>
    <w:rsid w:val="00D014FB"/>
    <w:rsid w:val="00D01AB7"/>
    <w:rsid w:val="00D07540"/>
    <w:rsid w:val="00D161E2"/>
    <w:rsid w:val="00D40CEF"/>
    <w:rsid w:val="00D62983"/>
    <w:rsid w:val="00D65A0C"/>
    <w:rsid w:val="00D86E93"/>
    <w:rsid w:val="00DC6B94"/>
    <w:rsid w:val="00DC6DD6"/>
    <w:rsid w:val="00DD65A8"/>
    <w:rsid w:val="00DE0489"/>
    <w:rsid w:val="00DE6E1F"/>
    <w:rsid w:val="00DF1870"/>
    <w:rsid w:val="00E10DE4"/>
    <w:rsid w:val="00E11E8E"/>
    <w:rsid w:val="00E27F50"/>
    <w:rsid w:val="00E33468"/>
    <w:rsid w:val="00ED3745"/>
    <w:rsid w:val="00ED759C"/>
    <w:rsid w:val="00EE1181"/>
    <w:rsid w:val="00EE2BC0"/>
    <w:rsid w:val="00EF378E"/>
    <w:rsid w:val="00F0458C"/>
    <w:rsid w:val="00F2429C"/>
    <w:rsid w:val="00F34D0C"/>
    <w:rsid w:val="00F426D6"/>
    <w:rsid w:val="00F466E1"/>
    <w:rsid w:val="00F5767B"/>
    <w:rsid w:val="00F87F65"/>
    <w:rsid w:val="00F90E17"/>
    <w:rsid w:val="00F92DD8"/>
    <w:rsid w:val="00FA3042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529D5"/>
  <w15:docId w15:val="{A01A81E8-3150-4FC8-95EB-B02FD23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28"/>
    <w:pPr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BE6C28"/>
    <w:rPr>
      <w:vertAlign w:val="superscript"/>
    </w:rPr>
  </w:style>
  <w:style w:type="character" w:customStyle="1" w:styleId="9">
    <w:name w:val="Знак сноски9"/>
    <w:qFormat/>
    <w:rsid w:val="00BE6C28"/>
    <w:rPr>
      <w:vertAlign w:val="superscript"/>
    </w:rPr>
  </w:style>
  <w:style w:type="character" w:styleId="a4">
    <w:name w:val="footnote reference"/>
    <w:qFormat/>
    <w:rsid w:val="00BE6C28"/>
    <w:rPr>
      <w:vertAlign w:val="superscript"/>
    </w:rPr>
  </w:style>
  <w:style w:type="character" w:customStyle="1" w:styleId="a5">
    <w:name w:val="Текст сноски Знак"/>
    <w:basedOn w:val="a0"/>
    <w:qFormat/>
    <w:rsid w:val="00BE6C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uiPriority w:val="99"/>
    <w:qFormat/>
    <w:rsid w:val="00C3333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uiPriority w:val="99"/>
    <w:qFormat/>
    <w:rsid w:val="00C3333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C3333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footnote text"/>
    <w:basedOn w:val="a"/>
  </w:style>
  <w:style w:type="paragraph" w:customStyle="1" w:styleId="Default">
    <w:name w:val="Default"/>
    <w:qFormat/>
    <w:rsid w:val="00BE6C2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1">
    <w:name w:val="header"/>
    <w:basedOn w:val="a"/>
    <w:uiPriority w:val="99"/>
    <w:unhideWhenUsed/>
    <w:rsid w:val="00C33335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C33335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C33335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styleId="af6">
    <w:name w:val="annotation reference"/>
    <w:basedOn w:val="a0"/>
    <w:uiPriority w:val="99"/>
    <w:semiHidden/>
    <w:unhideWhenUsed/>
    <w:rsid w:val="00D65A0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65A0C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65A0C"/>
    <w:rPr>
      <w:rFonts w:ascii="Times New Roman" w:eastAsia="Times New Roman" w:hAnsi="Times New Roman" w:cs="Times New Roman"/>
      <w:szCs w:val="20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5A0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65A0C"/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styleId="afb">
    <w:name w:val="Revision"/>
    <w:hidden/>
    <w:uiPriority w:val="99"/>
    <w:semiHidden/>
    <w:rsid w:val="00E27F50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9F43-6E5B-4E19-979C-484C3BC4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Аверин Александр Петрович</cp:lastModifiedBy>
  <cp:revision>2</cp:revision>
  <cp:lastPrinted>2022-12-22T06:28:00Z</cp:lastPrinted>
  <dcterms:created xsi:type="dcterms:W3CDTF">2024-10-30T10:46:00Z</dcterms:created>
  <dcterms:modified xsi:type="dcterms:W3CDTF">2024-10-30T10:46:00Z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